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A667" w14:textId="49451CD2" w:rsidR="00101049" w:rsidRDefault="00101049"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At the final Academic Senate meeting of AY 2022-23, a proposal for redesigning the composition requirement within General Education was tabled mainly because that proposal lacked detail.  The following is an attempt to spur our conversation</w:t>
      </w:r>
      <w:r w:rsidR="003255DC">
        <w:rPr>
          <w:rFonts w:asciiTheme="minorHAnsi" w:hAnsiTheme="minorHAnsi" w:cstheme="minorHAnsi"/>
          <w:iCs/>
        </w:rPr>
        <w:t xml:space="preserve"> about the place of composition in </w:t>
      </w:r>
      <w:proofErr w:type="spellStart"/>
      <w:r w:rsidR="003255DC">
        <w:rPr>
          <w:rFonts w:asciiTheme="minorHAnsi" w:hAnsiTheme="minorHAnsi" w:cstheme="minorHAnsi"/>
          <w:iCs/>
        </w:rPr>
        <w:t>GenEd</w:t>
      </w:r>
      <w:proofErr w:type="spellEnd"/>
      <w:r>
        <w:rPr>
          <w:rFonts w:asciiTheme="minorHAnsi" w:hAnsiTheme="minorHAnsi" w:cstheme="minorHAnsi"/>
          <w:iCs/>
        </w:rPr>
        <w:t xml:space="preserve"> forward</w:t>
      </w:r>
      <w:r w:rsidR="003C1BFD">
        <w:rPr>
          <w:rFonts w:asciiTheme="minorHAnsi" w:hAnsiTheme="minorHAnsi" w:cstheme="minorHAnsi"/>
          <w:iCs/>
        </w:rPr>
        <w:t xml:space="preserve"> and </w:t>
      </w:r>
      <w:r>
        <w:rPr>
          <w:rFonts w:asciiTheme="minorHAnsi" w:hAnsiTheme="minorHAnsi" w:cstheme="minorHAnsi"/>
          <w:iCs/>
        </w:rPr>
        <w:t>to identify the questions we must answer as we choose a way of proceeding.</w:t>
      </w:r>
    </w:p>
    <w:p w14:paraId="0112D72D" w14:textId="77777777" w:rsidR="00101049" w:rsidRDefault="00101049" w:rsidP="000D7741">
      <w:pPr>
        <w:tabs>
          <w:tab w:val="left" w:pos="360"/>
        </w:tabs>
        <w:autoSpaceDE w:val="0"/>
        <w:autoSpaceDN w:val="0"/>
        <w:adjustRightInd w:val="0"/>
        <w:rPr>
          <w:rFonts w:asciiTheme="minorHAnsi" w:hAnsiTheme="minorHAnsi" w:cstheme="minorHAnsi"/>
          <w:iCs/>
        </w:rPr>
      </w:pPr>
    </w:p>
    <w:p w14:paraId="15352F3C" w14:textId="446AA368" w:rsidR="00101049" w:rsidRDefault="002724B6"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1. How do we cover the OT36 Learning Outcomes?</w:t>
      </w:r>
    </w:p>
    <w:p w14:paraId="799ADCB1" w14:textId="7D2A3DAD" w:rsidR="002724B6" w:rsidRDefault="002724B6" w:rsidP="000D7741">
      <w:pPr>
        <w:pStyle w:val="ListParagraph"/>
        <w:numPr>
          <w:ilvl w:val="0"/>
          <w:numId w:val="17"/>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 xml:space="preserve">The OT36 Learning Outcomes for Composition can be found in separate attached documents.  While the State of OH requires only 3 credits of composition within General Education, it organizes composition learning outcomes in terms of a First Course and a Second Course.  The outcomes are actually the same for both “courses,” but the </w:t>
      </w:r>
      <w:r w:rsidR="00FF59AC">
        <w:rPr>
          <w:rFonts w:asciiTheme="minorHAnsi" w:hAnsiTheme="minorHAnsi" w:cstheme="minorHAnsi"/>
          <w:iCs/>
        </w:rPr>
        <w:t>second course benchmarks add to and build on those articulated in the First Course.</w:t>
      </w:r>
    </w:p>
    <w:p w14:paraId="3BAF65EB" w14:textId="72C51AC6" w:rsidR="00DF6C21" w:rsidRPr="00615067" w:rsidRDefault="00FF59AC" w:rsidP="000D7741">
      <w:pPr>
        <w:pStyle w:val="ListParagraph"/>
        <w:numPr>
          <w:ilvl w:val="0"/>
          <w:numId w:val="17"/>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We could simply meet the State’s minimum requirement (i.e. 3 credits), but I think most would agree that doing so isn’t in the best interest of YSU students.  Our students benefit from more writing instruction, not less</w:t>
      </w:r>
      <w:r w:rsidR="00615067">
        <w:rPr>
          <w:rFonts w:asciiTheme="minorHAnsi" w:hAnsiTheme="minorHAnsi" w:cstheme="minorHAnsi"/>
          <w:iCs/>
        </w:rPr>
        <w:t>.</w:t>
      </w:r>
      <w:r w:rsidR="00615067">
        <w:rPr>
          <w:rStyle w:val="EndnoteReference"/>
          <w:rFonts w:asciiTheme="minorHAnsi" w:hAnsiTheme="minorHAnsi" w:cstheme="minorHAnsi"/>
          <w:iCs/>
        </w:rPr>
        <w:endnoteReference w:id="1"/>
      </w:r>
    </w:p>
    <w:p w14:paraId="523FF80A" w14:textId="7ECBDC17" w:rsidR="00DF6C21" w:rsidRDefault="008E76F6" w:rsidP="000D7741">
      <w:pPr>
        <w:pStyle w:val="ListParagraph"/>
        <w:numPr>
          <w:ilvl w:val="0"/>
          <w:numId w:val="21"/>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 xml:space="preserve">I suggest </w:t>
      </w:r>
      <w:r w:rsidR="007152E2">
        <w:rPr>
          <w:rFonts w:asciiTheme="minorHAnsi" w:hAnsiTheme="minorHAnsi" w:cstheme="minorHAnsi"/>
          <w:iCs/>
        </w:rPr>
        <w:t xml:space="preserve">covering all First Course learning outcomes and </w:t>
      </w:r>
      <w:r w:rsidR="00A73BA9">
        <w:rPr>
          <w:rFonts w:asciiTheme="minorHAnsi" w:hAnsiTheme="minorHAnsi" w:cstheme="minorHAnsi"/>
          <w:iCs/>
        </w:rPr>
        <w:t>Second Course “Critical think</w:t>
      </w:r>
      <w:r w:rsidR="005335AB">
        <w:rPr>
          <w:rFonts w:asciiTheme="minorHAnsi" w:hAnsiTheme="minorHAnsi" w:cstheme="minorHAnsi"/>
          <w:iCs/>
        </w:rPr>
        <w:t xml:space="preserve">ing, reading and writing outcomes” in a revised Writing 1, and I suggest making Writing 1 four credit hours </w:t>
      </w:r>
      <w:r w:rsidR="00DE4A1A">
        <w:rPr>
          <w:rFonts w:asciiTheme="minorHAnsi" w:hAnsiTheme="minorHAnsi" w:cstheme="minorHAnsi"/>
          <w:iCs/>
        </w:rPr>
        <w:t>because of th</w:t>
      </w:r>
      <w:r w:rsidR="00C17C08">
        <w:rPr>
          <w:rFonts w:asciiTheme="minorHAnsi" w:hAnsiTheme="minorHAnsi" w:cstheme="minorHAnsi"/>
          <w:iCs/>
        </w:rPr>
        <w:t>is</w:t>
      </w:r>
      <w:r w:rsidR="00DE4A1A">
        <w:rPr>
          <w:rFonts w:asciiTheme="minorHAnsi" w:hAnsiTheme="minorHAnsi" w:cstheme="minorHAnsi"/>
          <w:iCs/>
        </w:rPr>
        <w:t xml:space="preserve"> added content.</w:t>
      </w:r>
    </w:p>
    <w:p w14:paraId="44FC1C65" w14:textId="77777777" w:rsidR="00435B7D" w:rsidRDefault="00435B7D" w:rsidP="000D7741">
      <w:pPr>
        <w:tabs>
          <w:tab w:val="left" w:pos="360"/>
        </w:tabs>
        <w:autoSpaceDE w:val="0"/>
        <w:autoSpaceDN w:val="0"/>
        <w:adjustRightInd w:val="0"/>
        <w:rPr>
          <w:rFonts w:asciiTheme="minorHAnsi" w:hAnsiTheme="minorHAnsi" w:cstheme="minorHAnsi"/>
          <w:iCs/>
        </w:rPr>
      </w:pPr>
    </w:p>
    <w:p w14:paraId="6686548B" w14:textId="77777777" w:rsidR="00C17C08" w:rsidRDefault="00435B7D"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 xml:space="preserve">2. </w:t>
      </w:r>
      <w:r w:rsidR="00C17C08">
        <w:rPr>
          <w:rFonts w:asciiTheme="minorHAnsi" w:hAnsiTheme="minorHAnsi" w:cstheme="minorHAnsi"/>
          <w:iCs/>
        </w:rPr>
        <w:t>What happens to ENGL 1549?</w:t>
      </w:r>
    </w:p>
    <w:p w14:paraId="7583AF67" w14:textId="400C7C0A" w:rsidR="009C21B3" w:rsidRPr="009C21B3" w:rsidRDefault="009C21B3" w:rsidP="000D7741">
      <w:pPr>
        <w:pStyle w:val="ListParagraph"/>
        <w:numPr>
          <w:ilvl w:val="0"/>
          <w:numId w:val="21"/>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ENGL 1549 is a co-requisite cou</w:t>
      </w:r>
      <w:r w:rsidR="004740DC">
        <w:rPr>
          <w:rFonts w:asciiTheme="minorHAnsi" w:hAnsiTheme="minorHAnsi" w:cstheme="minorHAnsi"/>
          <w:iCs/>
        </w:rPr>
        <w:t>r</w:t>
      </w:r>
      <w:r>
        <w:rPr>
          <w:rFonts w:asciiTheme="minorHAnsi" w:hAnsiTheme="minorHAnsi" w:cstheme="minorHAnsi"/>
          <w:iCs/>
        </w:rPr>
        <w:t>se</w:t>
      </w:r>
      <w:r w:rsidR="004740DC">
        <w:rPr>
          <w:rFonts w:asciiTheme="minorHAnsi" w:hAnsiTheme="minorHAnsi" w:cstheme="minorHAnsi"/>
          <w:iCs/>
        </w:rPr>
        <w:t xml:space="preserve"> (it is not a developmental course)</w:t>
      </w:r>
      <w:r w:rsidR="00784A55">
        <w:rPr>
          <w:rFonts w:asciiTheme="minorHAnsi" w:hAnsiTheme="minorHAnsi" w:cstheme="minorHAnsi"/>
          <w:iCs/>
        </w:rPr>
        <w:t xml:space="preserve">, and it currently serves students with placement scores below the cut-off for ENGL 1550 but above those </w:t>
      </w:r>
      <w:r w:rsidR="00B53112">
        <w:rPr>
          <w:rFonts w:asciiTheme="minorHAnsi" w:hAnsiTheme="minorHAnsi" w:cstheme="minorHAnsi"/>
          <w:iCs/>
        </w:rPr>
        <w:t>placed into our developmental course (ENGL 1541).</w:t>
      </w:r>
      <w:r w:rsidR="00F417FF">
        <w:rPr>
          <w:rFonts w:asciiTheme="minorHAnsi" w:hAnsiTheme="minorHAnsi" w:cstheme="minorHAnsi"/>
          <w:iCs/>
        </w:rPr>
        <w:t xml:space="preserve">  It does the same work as ENGL 1550 but at a slower pace</w:t>
      </w:r>
      <w:r w:rsidR="002F4D11">
        <w:rPr>
          <w:rFonts w:asciiTheme="minorHAnsi" w:hAnsiTheme="minorHAnsi" w:cstheme="minorHAnsi"/>
          <w:iCs/>
        </w:rPr>
        <w:t>; it also meets an additional hour per week</w:t>
      </w:r>
      <w:r w:rsidR="00077285">
        <w:rPr>
          <w:rFonts w:asciiTheme="minorHAnsi" w:hAnsiTheme="minorHAnsi" w:cstheme="minorHAnsi"/>
          <w:iCs/>
        </w:rPr>
        <w:t xml:space="preserve">, </w:t>
      </w:r>
      <w:r w:rsidR="002F4D11">
        <w:rPr>
          <w:rFonts w:asciiTheme="minorHAnsi" w:hAnsiTheme="minorHAnsi" w:cstheme="minorHAnsi"/>
          <w:iCs/>
        </w:rPr>
        <w:t xml:space="preserve">so </w:t>
      </w:r>
      <w:r w:rsidR="00077285">
        <w:rPr>
          <w:rFonts w:asciiTheme="minorHAnsi" w:hAnsiTheme="minorHAnsi" w:cstheme="minorHAnsi"/>
          <w:iCs/>
        </w:rPr>
        <w:t>it is currently 4 credit hours</w:t>
      </w:r>
      <w:r w:rsidR="002F4D11">
        <w:rPr>
          <w:rFonts w:asciiTheme="minorHAnsi" w:hAnsiTheme="minorHAnsi" w:cstheme="minorHAnsi"/>
          <w:iCs/>
        </w:rPr>
        <w:t xml:space="preserve">.  </w:t>
      </w:r>
      <w:r w:rsidR="00F314DD">
        <w:rPr>
          <w:rFonts w:asciiTheme="minorHAnsi" w:hAnsiTheme="minorHAnsi" w:cstheme="minorHAnsi"/>
          <w:iCs/>
        </w:rPr>
        <w:t xml:space="preserve">If we </w:t>
      </w:r>
      <w:r w:rsidR="002F4D11">
        <w:rPr>
          <w:rFonts w:asciiTheme="minorHAnsi" w:hAnsiTheme="minorHAnsi" w:cstheme="minorHAnsi"/>
          <w:iCs/>
        </w:rPr>
        <w:t>add additional learning outcomes</w:t>
      </w:r>
      <w:r w:rsidR="00F314DD">
        <w:rPr>
          <w:rFonts w:asciiTheme="minorHAnsi" w:hAnsiTheme="minorHAnsi" w:cstheme="minorHAnsi"/>
          <w:iCs/>
        </w:rPr>
        <w:t xml:space="preserve"> to Writing 1 as I suggest above, we’ll need to decide </w:t>
      </w:r>
      <w:r w:rsidR="00E224EA">
        <w:rPr>
          <w:rFonts w:asciiTheme="minorHAnsi" w:hAnsiTheme="minorHAnsi" w:cstheme="minorHAnsi"/>
          <w:iCs/>
        </w:rPr>
        <w:t>how that is to affect ENGL 1549.  Should 1549 become a 5 hour class?</w:t>
      </w:r>
      <w:r w:rsidR="00F85E67">
        <w:rPr>
          <w:rFonts w:asciiTheme="minorHAnsi" w:hAnsiTheme="minorHAnsi" w:cstheme="minorHAnsi"/>
          <w:iCs/>
        </w:rPr>
        <w:t xml:space="preserve">  Or perhaps no one is in favor of making ENGL 1550 a 4-credit course; in that case, 1549 could remain as is.</w:t>
      </w:r>
    </w:p>
    <w:p w14:paraId="4E1BB99C" w14:textId="77777777" w:rsidR="00C17C08" w:rsidRDefault="00C17C08" w:rsidP="000D7741">
      <w:pPr>
        <w:tabs>
          <w:tab w:val="left" w:pos="360"/>
        </w:tabs>
        <w:autoSpaceDE w:val="0"/>
        <w:autoSpaceDN w:val="0"/>
        <w:adjustRightInd w:val="0"/>
        <w:rPr>
          <w:rFonts w:asciiTheme="minorHAnsi" w:hAnsiTheme="minorHAnsi" w:cstheme="minorHAnsi"/>
          <w:iCs/>
        </w:rPr>
      </w:pPr>
    </w:p>
    <w:p w14:paraId="03788E5D" w14:textId="75D624B7" w:rsidR="00435B7D" w:rsidRDefault="00300086"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 xml:space="preserve">3. </w:t>
      </w:r>
      <w:r w:rsidR="00435B7D">
        <w:rPr>
          <w:rFonts w:asciiTheme="minorHAnsi" w:hAnsiTheme="minorHAnsi" w:cstheme="minorHAnsi"/>
          <w:iCs/>
        </w:rPr>
        <w:t>What happens to Writing 2</w:t>
      </w:r>
      <w:r w:rsidR="009B0E65">
        <w:rPr>
          <w:rFonts w:asciiTheme="minorHAnsi" w:hAnsiTheme="minorHAnsi" w:cstheme="minorHAnsi"/>
          <w:iCs/>
        </w:rPr>
        <w:t xml:space="preserve"> (currently ENGL 1551)</w:t>
      </w:r>
      <w:r w:rsidR="00435B7D">
        <w:rPr>
          <w:rFonts w:asciiTheme="minorHAnsi" w:hAnsiTheme="minorHAnsi" w:cstheme="minorHAnsi"/>
          <w:iCs/>
        </w:rPr>
        <w:t>?</w:t>
      </w:r>
    </w:p>
    <w:p w14:paraId="12AA67A7" w14:textId="5F23D8C5" w:rsidR="00C40934" w:rsidRDefault="00C40934" w:rsidP="000D7741">
      <w:pPr>
        <w:pStyle w:val="ListParagraph"/>
        <w:numPr>
          <w:ilvl w:val="0"/>
          <w:numId w:val="21"/>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 xml:space="preserve">When discussions about </w:t>
      </w:r>
      <w:r w:rsidR="00F329E0">
        <w:rPr>
          <w:rFonts w:asciiTheme="minorHAnsi" w:hAnsiTheme="minorHAnsi" w:cstheme="minorHAnsi"/>
          <w:iCs/>
        </w:rPr>
        <w:t xml:space="preserve">this GER revision began, </w:t>
      </w:r>
      <w:r w:rsidR="001B7167">
        <w:rPr>
          <w:rFonts w:asciiTheme="minorHAnsi" w:hAnsiTheme="minorHAnsi" w:cstheme="minorHAnsi"/>
          <w:iCs/>
        </w:rPr>
        <w:t xml:space="preserve">it appeared that Writing 2 was going to be eliminated from </w:t>
      </w:r>
      <w:r w:rsidR="00432680">
        <w:rPr>
          <w:rFonts w:asciiTheme="minorHAnsi" w:hAnsiTheme="minorHAnsi" w:cstheme="minorHAnsi"/>
          <w:iCs/>
        </w:rPr>
        <w:t xml:space="preserve">the general education program.  However, many faculty </w:t>
      </w:r>
      <w:r w:rsidR="00A652DF">
        <w:rPr>
          <w:rFonts w:asciiTheme="minorHAnsi" w:hAnsiTheme="minorHAnsi" w:cstheme="minorHAnsi"/>
          <w:iCs/>
        </w:rPr>
        <w:t>expressed concern</w:t>
      </w:r>
      <w:r w:rsidR="00A77D35">
        <w:rPr>
          <w:rFonts w:asciiTheme="minorHAnsi" w:hAnsiTheme="minorHAnsi" w:cstheme="minorHAnsi"/>
          <w:iCs/>
        </w:rPr>
        <w:t xml:space="preserve">, in the open town hall forums and in written feedback to the </w:t>
      </w:r>
      <w:proofErr w:type="spellStart"/>
      <w:r w:rsidR="00A77D35">
        <w:rPr>
          <w:rFonts w:asciiTheme="minorHAnsi" w:hAnsiTheme="minorHAnsi" w:cstheme="minorHAnsi"/>
          <w:iCs/>
        </w:rPr>
        <w:t>GenEd</w:t>
      </w:r>
      <w:proofErr w:type="spellEnd"/>
      <w:r w:rsidR="00A77D35">
        <w:rPr>
          <w:rFonts w:asciiTheme="minorHAnsi" w:hAnsiTheme="minorHAnsi" w:cstheme="minorHAnsi"/>
          <w:iCs/>
        </w:rPr>
        <w:t xml:space="preserve"> Committee,</w:t>
      </w:r>
      <w:r w:rsidR="00A652DF">
        <w:rPr>
          <w:rFonts w:asciiTheme="minorHAnsi" w:hAnsiTheme="minorHAnsi" w:cstheme="minorHAnsi"/>
          <w:iCs/>
        </w:rPr>
        <w:t xml:space="preserve"> about losing Writing</w:t>
      </w:r>
      <w:r w:rsidR="00A77D35">
        <w:rPr>
          <w:rFonts w:asciiTheme="minorHAnsi" w:hAnsiTheme="minorHAnsi" w:cstheme="minorHAnsi"/>
          <w:iCs/>
        </w:rPr>
        <w:t xml:space="preserve"> 2</w:t>
      </w:r>
      <w:r w:rsidR="00A652DF">
        <w:rPr>
          <w:rFonts w:asciiTheme="minorHAnsi" w:hAnsiTheme="minorHAnsi" w:cstheme="minorHAnsi"/>
          <w:iCs/>
        </w:rPr>
        <w:t>.</w:t>
      </w:r>
      <w:r w:rsidR="00A77D35">
        <w:rPr>
          <w:rFonts w:asciiTheme="minorHAnsi" w:hAnsiTheme="minorHAnsi" w:cstheme="minorHAnsi"/>
          <w:iCs/>
        </w:rPr>
        <w:t xml:space="preserve">  As a result, </w:t>
      </w:r>
      <w:r w:rsidR="001228DF">
        <w:rPr>
          <w:rFonts w:asciiTheme="minorHAnsi" w:hAnsiTheme="minorHAnsi" w:cstheme="minorHAnsi"/>
          <w:iCs/>
        </w:rPr>
        <w:t xml:space="preserve">Dr. </w:t>
      </w:r>
      <w:proofErr w:type="spellStart"/>
      <w:r w:rsidR="001228DF">
        <w:rPr>
          <w:rFonts w:asciiTheme="minorHAnsi" w:hAnsiTheme="minorHAnsi" w:cstheme="minorHAnsi"/>
          <w:iCs/>
        </w:rPr>
        <w:t>Pintar</w:t>
      </w:r>
      <w:proofErr w:type="spellEnd"/>
      <w:r w:rsidR="001228DF">
        <w:rPr>
          <w:rFonts w:asciiTheme="minorHAnsi" w:hAnsiTheme="minorHAnsi" w:cstheme="minorHAnsi"/>
          <w:iCs/>
        </w:rPr>
        <w:t xml:space="preserve"> initiated conversation with English faculty and asked us to propose </w:t>
      </w:r>
      <w:r w:rsidR="003A2ED6">
        <w:rPr>
          <w:rFonts w:asciiTheme="minorHAnsi" w:hAnsiTheme="minorHAnsi" w:cstheme="minorHAnsi"/>
          <w:iCs/>
        </w:rPr>
        <w:t>options for composition in the GER model.</w:t>
      </w:r>
      <w:r w:rsidR="003C53DD">
        <w:rPr>
          <w:rFonts w:asciiTheme="minorHAnsi" w:hAnsiTheme="minorHAnsi" w:cstheme="minorHAnsi"/>
          <w:iCs/>
        </w:rPr>
        <w:t xml:space="preserve">  We presented four options</w:t>
      </w:r>
      <w:r w:rsidR="00347ACC">
        <w:rPr>
          <w:rFonts w:asciiTheme="minorHAnsi" w:hAnsiTheme="minorHAnsi" w:cstheme="minorHAnsi"/>
          <w:iCs/>
        </w:rPr>
        <w:t xml:space="preserve">; the option that </w:t>
      </w:r>
      <w:r w:rsidR="009200A7">
        <w:rPr>
          <w:rFonts w:asciiTheme="minorHAnsi" w:hAnsiTheme="minorHAnsi" w:cstheme="minorHAnsi"/>
          <w:iCs/>
        </w:rPr>
        <w:t>receive</w:t>
      </w:r>
      <w:r w:rsidR="00815A90">
        <w:rPr>
          <w:rFonts w:asciiTheme="minorHAnsi" w:hAnsiTheme="minorHAnsi" w:cstheme="minorHAnsi"/>
          <w:iCs/>
        </w:rPr>
        <w:t>d</w:t>
      </w:r>
      <w:r w:rsidR="009200A7">
        <w:rPr>
          <w:rFonts w:asciiTheme="minorHAnsi" w:hAnsiTheme="minorHAnsi" w:cstheme="minorHAnsi"/>
          <w:iCs/>
        </w:rPr>
        <w:t xml:space="preserve"> consensus </w:t>
      </w:r>
      <w:r w:rsidR="00815A90">
        <w:rPr>
          <w:rFonts w:asciiTheme="minorHAnsi" w:hAnsiTheme="minorHAnsi" w:cstheme="minorHAnsi"/>
          <w:iCs/>
        </w:rPr>
        <w:t xml:space="preserve">was one that made Writing 2 a Writing in the Disciplines </w:t>
      </w:r>
      <w:r w:rsidR="00107E1A">
        <w:rPr>
          <w:rFonts w:asciiTheme="minorHAnsi" w:hAnsiTheme="minorHAnsi" w:cstheme="minorHAnsi"/>
          <w:iCs/>
        </w:rPr>
        <w:t xml:space="preserve">(WID) </w:t>
      </w:r>
      <w:r w:rsidR="00815A90">
        <w:rPr>
          <w:rFonts w:asciiTheme="minorHAnsi" w:hAnsiTheme="minorHAnsi" w:cstheme="minorHAnsi"/>
          <w:iCs/>
        </w:rPr>
        <w:t>course.</w:t>
      </w:r>
    </w:p>
    <w:p w14:paraId="4C1494E5" w14:textId="77777777" w:rsidR="00474BE1" w:rsidRDefault="00474BE1" w:rsidP="000D7741">
      <w:pPr>
        <w:tabs>
          <w:tab w:val="left" w:pos="360"/>
        </w:tabs>
        <w:autoSpaceDE w:val="0"/>
        <w:autoSpaceDN w:val="0"/>
        <w:adjustRightInd w:val="0"/>
        <w:rPr>
          <w:rFonts w:asciiTheme="minorHAnsi" w:hAnsiTheme="minorHAnsi" w:cstheme="minorHAnsi"/>
          <w:iCs/>
        </w:rPr>
      </w:pPr>
    </w:p>
    <w:p w14:paraId="7956F016" w14:textId="21E5EED2" w:rsidR="00474BE1" w:rsidRDefault="00474BE1"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4. What does a Writing in the Disciplines cour</w:t>
      </w:r>
      <w:r w:rsidR="00C524B5">
        <w:rPr>
          <w:rFonts w:asciiTheme="minorHAnsi" w:hAnsiTheme="minorHAnsi" w:cstheme="minorHAnsi"/>
          <w:iCs/>
        </w:rPr>
        <w:t>se mean?</w:t>
      </w:r>
    </w:p>
    <w:p w14:paraId="65ABCFDC" w14:textId="78814A0E" w:rsidR="005C5F4E" w:rsidRPr="00C431C4" w:rsidRDefault="00992698" w:rsidP="000D7741">
      <w:pPr>
        <w:pStyle w:val="ListParagraph"/>
        <w:numPr>
          <w:ilvl w:val="0"/>
          <w:numId w:val="21"/>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First, it’s important to note that this writing course would still have to fulfill 3</w:t>
      </w:r>
      <w:r w:rsidR="00932268">
        <w:rPr>
          <w:rFonts w:asciiTheme="minorHAnsi" w:hAnsiTheme="minorHAnsi" w:cstheme="minorHAnsi"/>
          <w:iCs/>
        </w:rPr>
        <w:t xml:space="preserve"> (out of 4) general education learning outcomes (the ones listed for the Second Course</w:t>
      </w:r>
      <w:r w:rsidR="00A009F4">
        <w:rPr>
          <w:rFonts w:asciiTheme="minorHAnsi" w:hAnsiTheme="minorHAnsi" w:cstheme="minorHAnsi"/>
          <w:iCs/>
        </w:rPr>
        <w:t xml:space="preserve"> under Rhetorical Knowledge, </w:t>
      </w:r>
      <w:r w:rsidR="00623C88">
        <w:rPr>
          <w:rFonts w:asciiTheme="minorHAnsi" w:hAnsiTheme="minorHAnsi" w:cstheme="minorHAnsi"/>
          <w:iCs/>
        </w:rPr>
        <w:t>Knowledge of Composing Processes, and Knowledge of Conventions)</w:t>
      </w:r>
      <w:r w:rsidR="00107E1A">
        <w:rPr>
          <w:rFonts w:asciiTheme="minorHAnsi" w:hAnsiTheme="minorHAnsi" w:cstheme="minorHAnsi"/>
          <w:iCs/>
        </w:rPr>
        <w:t>.  Then, as a WID course</w:t>
      </w:r>
      <w:r w:rsidR="001C7DCB">
        <w:rPr>
          <w:rFonts w:asciiTheme="minorHAnsi" w:hAnsiTheme="minorHAnsi" w:cstheme="minorHAnsi"/>
          <w:iCs/>
        </w:rPr>
        <w:t xml:space="preserve"> its additional purpose would be to </w:t>
      </w:r>
      <w:r w:rsidR="001C7DCB" w:rsidRPr="001C7DCB">
        <w:rPr>
          <w:rFonts w:asciiTheme="minorHAnsi" w:hAnsiTheme="minorHAnsi" w:cstheme="minorHAnsi"/>
        </w:rPr>
        <w:t xml:space="preserve">introduce </w:t>
      </w:r>
      <w:r w:rsidR="00D81025">
        <w:rPr>
          <w:rFonts w:asciiTheme="minorHAnsi" w:hAnsiTheme="minorHAnsi" w:cstheme="minorHAnsi"/>
        </w:rPr>
        <w:t>and</w:t>
      </w:r>
      <w:r w:rsidR="001C7DCB" w:rsidRPr="001C7DCB">
        <w:rPr>
          <w:rFonts w:asciiTheme="minorHAnsi" w:hAnsiTheme="minorHAnsi" w:cstheme="minorHAnsi"/>
        </w:rPr>
        <w:t xml:space="preserve"> give students practice with the writing conventions of a discipline and to help them ga</w:t>
      </w:r>
      <w:r w:rsidR="006A7F88">
        <w:rPr>
          <w:rFonts w:asciiTheme="minorHAnsi" w:hAnsiTheme="minorHAnsi" w:cstheme="minorHAnsi"/>
        </w:rPr>
        <w:t>in</w:t>
      </w:r>
      <w:r w:rsidR="001C7DCB" w:rsidRPr="001C7DCB">
        <w:rPr>
          <w:rFonts w:asciiTheme="minorHAnsi" w:hAnsiTheme="minorHAnsi" w:cstheme="minorHAnsi"/>
        </w:rPr>
        <w:t xml:space="preserve"> familiarity and fluency with specific genres and formats typical of </w:t>
      </w:r>
      <w:r w:rsidR="00D81025">
        <w:rPr>
          <w:rFonts w:asciiTheme="minorHAnsi" w:hAnsiTheme="minorHAnsi" w:cstheme="minorHAnsi"/>
        </w:rPr>
        <w:t>that</w:t>
      </w:r>
      <w:r w:rsidR="001C7DCB" w:rsidRPr="001C7DCB">
        <w:rPr>
          <w:rFonts w:asciiTheme="minorHAnsi" w:hAnsiTheme="minorHAnsi" w:cstheme="minorHAnsi"/>
        </w:rPr>
        <w:t xml:space="preserve"> given discipline</w:t>
      </w:r>
      <w:r w:rsidR="00C431C4">
        <w:rPr>
          <w:rFonts w:asciiTheme="minorHAnsi" w:hAnsiTheme="minorHAnsi" w:cstheme="minorHAnsi"/>
        </w:rPr>
        <w:t>.</w:t>
      </w:r>
    </w:p>
    <w:p w14:paraId="742E0A2F" w14:textId="77777777" w:rsidR="00A0030F" w:rsidRDefault="00A0030F" w:rsidP="000D7741">
      <w:pPr>
        <w:tabs>
          <w:tab w:val="left" w:pos="360"/>
        </w:tabs>
        <w:autoSpaceDE w:val="0"/>
        <w:autoSpaceDN w:val="0"/>
        <w:adjustRightInd w:val="0"/>
        <w:rPr>
          <w:rFonts w:asciiTheme="minorHAnsi" w:hAnsiTheme="minorHAnsi" w:cstheme="minorHAnsi"/>
          <w:iCs/>
        </w:rPr>
      </w:pPr>
    </w:p>
    <w:p w14:paraId="57DFEFA1" w14:textId="77362B74" w:rsidR="00C431C4" w:rsidRDefault="00C431C4"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5.</w:t>
      </w:r>
      <w:r w:rsidR="00133AB4">
        <w:rPr>
          <w:rFonts w:asciiTheme="minorHAnsi" w:hAnsiTheme="minorHAnsi" w:cstheme="minorHAnsi"/>
          <w:iCs/>
        </w:rPr>
        <w:t xml:space="preserve"> What would this WID course look like?</w:t>
      </w:r>
    </w:p>
    <w:p w14:paraId="62A19D89" w14:textId="3BE0BD25" w:rsidR="000F7546" w:rsidRDefault="00714B13" w:rsidP="000D7741">
      <w:pPr>
        <w:pStyle w:val="ListParagraph"/>
        <w:numPr>
          <w:ilvl w:val="0"/>
          <w:numId w:val="21"/>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Absolutely everything I mention next is negotiable</w:t>
      </w:r>
      <w:r w:rsidR="00E95064">
        <w:rPr>
          <w:rFonts w:asciiTheme="minorHAnsi" w:hAnsiTheme="minorHAnsi" w:cstheme="minorHAnsi"/>
          <w:iCs/>
        </w:rPr>
        <w:t>.  I am providing details to give you a sense of what this WID course could look like</w:t>
      </w:r>
      <w:r w:rsidR="00673BAD">
        <w:rPr>
          <w:rFonts w:asciiTheme="minorHAnsi" w:hAnsiTheme="minorHAnsi" w:cstheme="minorHAnsi"/>
          <w:iCs/>
        </w:rPr>
        <w:t xml:space="preserve">, but nothing </w:t>
      </w:r>
      <w:r w:rsidR="008B63F8">
        <w:rPr>
          <w:rFonts w:asciiTheme="minorHAnsi" w:hAnsiTheme="minorHAnsi" w:cstheme="minorHAnsi"/>
          <w:iCs/>
        </w:rPr>
        <w:t>has already been decided.</w:t>
      </w:r>
    </w:p>
    <w:p w14:paraId="1187E07E" w14:textId="1CD1CAE6" w:rsidR="00275BF2" w:rsidRDefault="00920A41" w:rsidP="000D7741">
      <w:pPr>
        <w:pStyle w:val="ListParagraph"/>
        <w:numPr>
          <w:ilvl w:val="0"/>
          <w:numId w:val="21"/>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Disciplines could design</w:t>
      </w:r>
      <w:r w:rsidR="00EF08C9">
        <w:rPr>
          <w:rFonts w:asciiTheme="minorHAnsi" w:hAnsiTheme="minorHAnsi" w:cstheme="minorHAnsi"/>
          <w:iCs/>
        </w:rPr>
        <w:t xml:space="preserve"> a discipline-specific writing class</w:t>
      </w:r>
      <w:r w:rsidR="004C0F1F">
        <w:rPr>
          <w:rFonts w:asciiTheme="minorHAnsi" w:hAnsiTheme="minorHAnsi" w:cstheme="minorHAnsi"/>
          <w:iCs/>
        </w:rPr>
        <w:t xml:space="preserve"> (i.e. Writing for Psychology </w:t>
      </w:r>
      <w:r w:rsidR="008C386B">
        <w:rPr>
          <w:rFonts w:asciiTheme="minorHAnsi" w:hAnsiTheme="minorHAnsi" w:cstheme="minorHAnsi"/>
          <w:iCs/>
        </w:rPr>
        <w:t>M</w:t>
      </w:r>
      <w:r w:rsidR="004C0F1F">
        <w:rPr>
          <w:rFonts w:asciiTheme="minorHAnsi" w:hAnsiTheme="minorHAnsi" w:cstheme="minorHAnsi"/>
          <w:iCs/>
        </w:rPr>
        <w:t>ajors)</w:t>
      </w:r>
      <w:r w:rsidR="008C386B">
        <w:rPr>
          <w:rFonts w:asciiTheme="minorHAnsi" w:hAnsiTheme="minorHAnsi" w:cstheme="minorHAnsi"/>
          <w:iCs/>
        </w:rPr>
        <w:t>.</w:t>
      </w:r>
    </w:p>
    <w:p w14:paraId="36074B16" w14:textId="0BEF6B6F" w:rsidR="008C386B" w:rsidRDefault="008C386B" w:rsidP="000D7741">
      <w:pPr>
        <w:pStyle w:val="ListParagraph"/>
        <w:numPr>
          <w:ilvl w:val="0"/>
          <w:numId w:val="21"/>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lastRenderedPageBreak/>
        <w:t>More broadly, colleges might design a college-specific writing class (i.e. Writing for Business</w:t>
      </w:r>
      <w:r w:rsidR="007F162F">
        <w:rPr>
          <w:rFonts w:asciiTheme="minorHAnsi" w:hAnsiTheme="minorHAnsi" w:cstheme="minorHAnsi"/>
          <w:iCs/>
        </w:rPr>
        <w:t xml:space="preserve"> Majors).</w:t>
      </w:r>
    </w:p>
    <w:p w14:paraId="45ECC853" w14:textId="2B32E03C" w:rsidR="007F162F" w:rsidRDefault="007F162F" w:rsidP="000D7741">
      <w:pPr>
        <w:pStyle w:val="ListParagraph"/>
        <w:numPr>
          <w:ilvl w:val="0"/>
          <w:numId w:val="21"/>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More broadly still, we might design courses</w:t>
      </w:r>
      <w:r w:rsidR="005B4E14">
        <w:rPr>
          <w:rFonts w:asciiTheme="minorHAnsi" w:hAnsiTheme="minorHAnsi" w:cstheme="minorHAnsi"/>
          <w:iCs/>
        </w:rPr>
        <w:t xml:space="preserve"> like Writing in the Social Sciences or Writing in the Humanities</w:t>
      </w:r>
      <w:r w:rsidR="001905A9">
        <w:rPr>
          <w:rFonts w:asciiTheme="minorHAnsi" w:hAnsiTheme="minorHAnsi" w:cstheme="minorHAnsi"/>
          <w:iCs/>
        </w:rPr>
        <w:t xml:space="preserve"> or Writing in the Natural Sciences.</w:t>
      </w:r>
    </w:p>
    <w:p w14:paraId="453174DC" w14:textId="02EDD468" w:rsidR="001905A9" w:rsidRDefault="001905A9" w:rsidP="000D7741">
      <w:pPr>
        <w:pStyle w:val="ListParagraph"/>
        <w:numPr>
          <w:ilvl w:val="0"/>
          <w:numId w:val="21"/>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 xml:space="preserve">In addition, we could </w:t>
      </w:r>
      <w:r w:rsidR="003B26AC">
        <w:rPr>
          <w:rFonts w:asciiTheme="minorHAnsi" w:hAnsiTheme="minorHAnsi" w:cstheme="minorHAnsi"/>
          <w:iCs/>
        </w:rPr>
        <w:t>leave a generic Writing 2 option</w:t>
      </w:r>
      <w:r w:rsidR="002379BF">
        <w:rPr>
          <w:rFonts w:asciiTheme="minorHAnsi" w:hAnsiTheme="minorHAnsi" w:cstheme="minorHAnsi"/>
          <w:iCs/>
        </w:rPr>
        <w:t xml:space="preserve"> (similar to our current ENGL 1551)</w:t>
      </w:r>
      <w:r w:rsidR="003B26AC">
        <w:rPr>
          <w:rFonts w:asciiTheme="minorHAnsi" w:hAnsiTheme="minorHAnsi" w:cstheme="minorHAnsi"/>
          <w:iCs/>
        </w:rPr>
        <w:t xml:space="preserve"> to catch transfer</w:t>
      </w:r>
      <w:r w:rsidR="00017522">
        <w:rPr>
          <w:rFonts w:asciiTheme="minorHAnsi" w:hAnsiTheme="minorHAnsi" w:cstheme="minorHAnsi"/>
          <w:iCs/>
        </w:rPr>
        <w:t xml:space="preserve"> students, students who switch majors, etc.</w:t>
      </w:r>
    </w:p>
    <w:p w14:paraId="596561FB" w14:textId="77777777" w:rsidR="003C4CA6" w:rsidRDefault="003C4CA6" w:rsidP="000D7741">
      <w:pPr>
        <w:tabs>
          <w:tab w:val="left" w:pos="360"/>
        </w:tabs>
        <w:autoSpaceDE w:val="0"/>
        <w:autoSpaceDN w:val="0"/>
        <w:adjustRightInd w:val="0"/>
        <w:rPr>
          <w:rFonts w:asciiTheme="minorHAnsi" w:hAnsiTheme="minorHAnsi" w:cstheme="minorHAnsi"/>
          <w:iCs/>
        </w:rPr>
      </w:pPr>
    </w:p>
    <w:p w14:paraId="01CDEC1C" w14:textId="0CF7CAD0" w:rsidR="003C4CA6" w:rsidRDefault="00FB240F"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6. Who would design these courses?</w:t>
      </w:r>
    </w:p>
    <w:p w14:paraId="283ECF09" w14:textId="77777777" w:rsidR="001E666A" w:rsidRDefault="00FB240F" w:rsidP="000D7741">
      <w:pPr>
        <w:pStyle w:val="ListParagraph"/>
        <w:numPr>
          <w:ilvl w:val="0"/>
          <w:numId w:val="22"/>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 xml:space="preserve">Crucial to </w:t>
      </w:r>
      <w:r w:rsidR="00C93F9B">
        <w:rPr>
          <w:rFonts w:asciiTheme="minorHAnsi" w:hAnsiTheme="minorHAnsi" w:cstheme="minorHAnsi"/>
          <w:iCs/>
        </w:rPr>
        <w:t>the initial vision for this option was the hiring of a WID Coordinator</w:t>
      </w:r>
      <w:r w:rsidR="0078609C">
        <w:rPr>
          <w:rFonts w:asciiTheme="minorHAnsi" w:hAnsiTheme="minorHAnsi" w:cstheme="minorHAnsi"/>
          <w:iCs/>
        </w:rPr>
        <w:t xml:space="preserve"> (the specifics of this position will have to be negotiated, but English faculty suggested a tenure-track faculty member)</w:t>
      </w:r>
      <w:r w:rsidR="004A103F">
        <w:rPr>
          <w:rFonts w:asciiTheme="minorHAnsi" w:hAnsiTheme="minorHAnsi" w:cstheme="minorHAnsi"/>
          <w:iCs/>
        </w:rPr>
        <w:t xml:space="preserve">.  This WID Coordinator would help departments and/or colleges design </w:t>
      </w:r>
      <w:r w:rsidR="004F71BA">
        <w:rPr>
          <w:rFonts w:asciiTheme="minorHAnsi" w:hAnsiTheme="minorHAnsi" w:cstheme="minorHAnsi"/>
          <w:iCs/>
        </w:rPr>
        <w:t>these courses</w:t>
      </w:r>
      <w:r w:rsidR="008477CF">
        <w:rPr>
          <w:rFonts w:asciiTheme="minorHAnsi" w:hAnsiTheme="minorHAnsi" w:cstheme="minorHAnsi"/>
          <w:iCs/>
        </w:rPr>
        <w:t xml:space="preserve">, and here is an opportunity for collaboration </w:t>
      </w:r>
      <w:r w:rsidR="009B621C">
        <w:rPr>
          <w:rFonts w:asciiTheme="minorHAnsi" w:hAnsiTheme="minorHAnsi" w:cstheme="minorHAnsi"/>
          <w:iCs/>
        </w:rPr>
        <w:t xml:space="preserve">between writing faculty and </w:t>
      </w:r>
      <w:r w:rsidR="001E666A">
        <w:rPr>
          <w:rFonts w:asciiTheme="minorHAnsi" w:hAnsiTheme="minorHAnsi" w:cstheme="minorHAnsi"/>
          <w:iCs/>
        </w:rPr>
        <w:t>content faculty.</w:t>
      </w:r>
    </w:p>
    <w:p w14:paraId="08DB03EB" w14:textId="77777777" w:rsidR="001E666A" w:rsidRDefault="001E666A" w:rsidP="000D7741">
      <w:pPr>
        <w:tabs>
          <w:tab w:val="left" w:pos="360"/>
        </w:tabs>
        <w:autoSpaceDE w:val="0"/>
        <w:autoSpaceDN w:val="0"/>
        <w:adjustRightInd w:val="0"/>
        <w:rPr>
          <w:rFonts w:asciiTheme="minorHAnsi" w:hAnsiTheme="minorHAnsi" w:cstheme="minorHAnsi"/>
          <w:iCs/>
        </w:rPr>
      </w:pPr>
    </w:p>
    <w:p w14:paraId="780D1998" w14:textId="77777777" w:rsidR="00EA33EB" w:rsidRDefault="001E666A"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 xml:space="preserve">7. Who would approve </w:t>
      </w:r>
      <w:r w:rsidR="00EA33EB">
        <w:rPr>
          <w:rFonts w:asciiTheme="minorHAnsi" w:hAnsiTheme="minorHAnsi" w:cstheme="minorHAnsi"/>
          <w:iCs/>
        </w:rPr>
        <w:t>a course as a WID GER?</w:t>
      </w:r>
    </w:p>
    <w:p w14:paraId="75B1CA3D" w14:textId="55910608" w:rsidR="00E44414" w:rsidRDefault="00EA33EB" w:rsidP="000D7741">
      <w:pPr>
        <w:pStyle w:val="ListParagraph"/>
        <w:numPr>
          <w:ilvl w:val="0"/>
          <w:numId w:val="22"/>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I’d suggest the GER Committee, and I suggest that the WID Coordinator be a member of that committee.</w:t>
      </w:r>
    </w:p>
    <w:p w14:paraId="7E4DFA56" w14:textId="77777777" w:rsidR="001E68E3" w:rsidRDefault="001E68E3" w:rsidP="000D7741">
      <w:pPr>
        <w:tabs>
          <w:tab w:val="left" w:pos="360"/>
        </w:tabs>
        <w:autoSpaceDE w:val="0"/>
        <w:autoSpaceDN w:val="0"/>
        <w:adjustRightInd w:val="0"/>
        <w:rPr>
          <w:rFonts w:asciiTheme="minorHAnsi" w:hAnsiTheme="minorHAnsi" w:cstheme="minorHAnsi"/>
          <w:iCs/>
        </w:rPr>
      </w:pPr>
    </w:p>
    <w:p w14:paraId="718C439F" w14:textId="77777777" w:rsidR="001E68E3" w:rsidRDefault="001E68E3"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8. Who would approve instructors for these courses?</w:t>
      </w:r>
    </w:p>
    <w:p w14:paraId="52DBE1E3" w14:textId="760258E5" w:rsidR="00FB240F" w:rsidRDefault="002B1B56" w:rsidP="000D7741">
      <w:pPr>
        <w:pStyle w:val="ListParagraph"/>
        <w:numPr>
          <w:ilvl w:val="0"/>
          <w:numId w:val="22"/>
        </w:numPr>
        <w:tabs>
          <w:tab w:val="left" w:pos="360"/>
        </w:tabs>
        <w:autoSpaceDE w:val="0"/>
        <w:autoSpaceDN w:val="0"/>
        <w:adjustRightInd w:val="0"/>
        <w:rPr>
          <w:rFonts w:asciiTheme="minorHAnsi" w:hAnsiTheme="minorHAnsi" w:cstheme="minorHAnsi"/>
          <w:iCs/>
        </w:rPr>
      </w:pPr>
      <w:r w:rsidRPr="001E68E3">
        <w:rPr>
          <w:rFonts w:asciiTheme="minorHAnsi" w:hAnsiTheme="minorHAnsi" w:cstheme="minorHAnsi"/>
          <w:iCs/>
        </w:rPr>
        <w:t>The WID Coordinator, I believe, should approve instructors to teach these courses</w:t>
      </w:r>
      <w:r w:rsidR="00833F76">
        <w:rPr>
          <w:rFonts w:asciiTheme="minorHAnsi" w:hAnsiTheme="minorHAnsi" w:cstheme="minorHAnsi"/>
          <w:iCs/>
        </w:rPr>
        <w:t>—perhaps in collaboration with colleges and/or departments.</w:t>
      </w:r>
    </w:p>
    <w:p w14:paraId="424B4042" w14:textId="77777777" w:rsidR="001B1EFA" w:rsidRDefault="001B1EFA" w:rsidP="000D7741">
      <w:pPr>
        <w:tabs>
          <w:tab w:val="left" w:pos="360"/>
        </w:tabs>
        <w:autoSpaceDE w:val="0"/>
        <w:autoSpaceDN w:val="0"/>
        <w:adjustRightInd w:val="0"/>
        <w:rPr>
          <w:rFonts w:asciiTheme="minorHAnsi" w:hAnsiTheme="minorHAnsi" w:cstheme="minorHAnsi"/>
          <w:iCs/>
        </w:rPr>
      </w:pPr>
    </w:p>
    <w:p w14:paraId="7D66D006" w14:textId="0A1D45C8" w:rsidR="001B1EFA" w:rsidRDefault="001B1EFA"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9. Who should teach these courses?</w:t>
      </w:r>
    </w:p>
    <w:p w14:paraId="585F8381" w14:textId="7898F70A" w:rsidR="001B1EFA" w:rsidRDefault="00D069DD" w:rsidP="000D7741">
      <w:pPr>
        <w:pStyle w:val="ListParagraph"/>
        <w:numPr>
          <w:ilvl w:val="0"/>
          <w:numId w:val="22"/>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Instructors from English &amp; World Languages</w:t>
      </w:r>
      <w:r w:rsidR="00D719FD">
        <w:rPr>
          <w:rFonts w:asciiTheme="minorHAnsi" w:hAnsiTheme="minorHAnsi" w:cstheme="minorHAnsi"/>
          <w:iCs/>
        </w:rPr>
        <w:t xml:space="preserve"> would certainly be </w:t>
      </w:r>
      <w:r w:rsidR="000A39DD">
        <w:rPr>
          <w:rFonts w:asciiTheme="minorHAnsi" w:hAnsiTheme="minorHAnsi" w:cstheme="minorHAnsi"/>
          <w:iCs/>
        </w:rPr>
        <w:t xml:space="preserve">able to provide instruction about research and writing processes, but they won’t necessarily have </w:t>
      </w:r>
      <w:r w:rsidR="007F37A6">
        <w:rPr>
          <w:rFonts w:asciiTheme="minorHAnsi" w:hAnsiTheme="minorHAnsi" w:cstheme="minorHAnsi"/>
          <w:iCs/>
        </w:rPr>
        <w:t>specific disciplinary knowledge and knowledge of disciplinary conventions.</w:t>
      </w:r>
      <w:r w:rsidR="00F1076C">
        <w:rPr>
          <w:rFonts w:asciiTheme="minorHAnsi" w:hAnsiTheme="minorHAnsi" w:cstheme="minorHAnsi"/>
          <w:iCs/>
        </w:rPr>
        <w:t xml:space="preserve">  So courses could be co-taught; courses could have a content instructor and a writing “consultant”; content faculty could be </w:t>
      </w:r>
      <w:r w:rsidR="00F306F8">
        <w:rPr>
          <w:rFonts w:asciiTheme="minorHAnsi" w:hAnsiTheme="minorHAnsi" w:cstheme="minorHAnsi"/>
          <w:iCs/>
        </w:rPr>
        <w:t>trained to teach writing.</w:t>
      </w:r>
      <w:r w:rsidR="003268C3">
        <w:rPr>
          <w:rFonts w:asciiTheme="minorHAnsi" w:hAnsiTheme="minorHAnsi" w:cstheme="minorHAnsi"/>
          <w:iCs/>
        </w:rPr>
        <w:t xml:space="preserve">  There are options, but there need to be some guidelines in place for how one would qualify to teach one of these courses</w:t>
      </w:r>
      <w:r w:rsidR="00687072">
        <w:rPr>
          <w:rFonts w:asciiTheme="minorHAnsi" w:hAnsiTheme="minorHAnsi" w:cstheme="minorHAnsi"/>
          <w:iCs/>
        </w:rPr>
        <w:t xml:space="preserve"> and an authority to determine whether those guidelines have been met and a faculty member is approved to teach.</w:t>
      </w:r>
    </w:p>
    <w:p w14:paraId="1379E5E0" w14:textId="4B9BF802" w:rsidR="001113A5" w:rsidRDefault="001113A5" w:rsidP="000D7741">
      <w:pPr>
        <w:pStyle w:val="ListParagraph"/>
        <w:numPr>
          <w:ilvl w:val="0"/>
          <w:numId w:val="22"/>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 xml:space="preserve">It is important to me that </w:t>
      </w:r>
      <w:r w:rsidR="00A91FFB">
        <w:rPr>
          <w:rFonts w:asciiTheme="minorHAnsi" w:hAnsiTheme="minorHAnsi" w:cstheme="minorHAnsi"/>
          <w:iCs/>
        </w:rPr>
        <w:t xml:space="preserve">non-English faculty are invited to teach these courses.  Why?  Because </w:t>
      </w:r>
      <w:r w:rsidR="00791E8C">
        <w:rPr>
          <w:rFonts w:asciiTheme="minorHAnsi" w:hAnsiTheme="minorHAnsi" w:cstheme="minorHAnsi"/>
          <w:iCs/>
        </w:rPr>
        <w:t>you are disciplinary experts, and you should already be teaching your students how to write in their chosen fields of study.  Further, if you’re part of YSU’s writing program, you’ll have a stake in</w:t>
      </w:r>
      <w:r w:rsidR="008C13DC">
        <w:rPr>
          <w:rFonts w:asciiTheme="minorHAnsi" w:hAnsiTheme="minorHAnsi" w:cstheme="minorHAnsi"/>
          <w:iCs/>
        </w:rPr>
        <w:t xml:space="preserve"> its quality and a means to contribute to it.</w:t>
      </w:r>
    </w:p>
    <w:p w14:paraId="145ED3F3" w14:textId="77777777" w:rsidR="00A53E31" w:rsidRDefault="00A53E31" w:rsidP="000D7741">
      <w:pPr>
        <w:tabs>
          <w:tab w:val="left" w:pos="360"/>
        </w:tabs>
        <w:autoSpaceDE w:val="0"/>
        <w:autoSpaceDN w:val="0"/>
        <w:adjustRightInd w:val="0"/>
        <w:rPr>
          <w:rFonts w:asciiTheme="minorHAnsi" w:hAnsiTheme="minorHAnsi" w:cstheme="minorHAnsi"/>
          <w:iCs/>
        </w:rPr>
      </w:pPr>
    </w:p>
    <w:p w14:paraId="4592B479" w14:textId="4355EBE6" w:rsidR="00A53E31" w:rsidRDefault="00A53E31" w:rsidP="000D7741">
      <w:pPr>
        <w:tabs>
          <w:tab w:val="left" w:pos="360"/>
        </w:tabs>
        <w:autoSpaceDE w:val="0"/>
        <w:autoSpaceDN w:val="0"/>
        <w:adjustRightInd w:val="0"/>
        <w:rPr>
          <w:rFonts w:asciiTheme="minorHAnsi" w:hAnsiTheme="minorHAnsi" w:cstheme="minorHAnsi"/>
          <w:iCs/>
        </w:rPr>
      </w:pPr>
      <w:r>
        <w:rPr>
          <w:rFonts w:asciiTheme="minorHAnsi" w:hAnsiTheme="minorHAnsi" w:cstheme="minorHAnsi"/>
          <w:iCs/>
        </w:rPr>
        <w:t>10. What additional items have to be addressed?</w:t>
      </w:r>
    </w:p>
    <w:p w14:paraId="240BCB78" w14:textId="53F437FB" w:rsidR="00A53E31" w:rsidRDefault="00FA7E45" w:rsidP="000D7741">
      <w:pPr>
        <w:pStyle w:val="ListParagraph"/>
        <w:numPr>
          <w:ilvl w:val="0"/>
          <w:numId w:val="23"/>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Writing course placements</w:t>
      </w:r>
    </w:p>
    <w:p w14:paraId="3C97A8A2" w14:textId="4E8AACD3" w:rsidR="00FA7E45" w:rsidRPr="00A53E31" w:rsidRDefault="00FA7E45" w:rsidP="000D7741">
      <w:pPr>
        <w:pStyle w:val="ListParagraph"/>
        <w:numPr>
          <w:ilvl w:val="0"/>
          <w:numId w:val="23"/>
        </w:numPr>
        <w:tabs>
          <w:tab w:val="left" w:pos="360"/>
        </w:tabs>
        <w:autoSpaceDE w:val="0"/>
        <w:autoSpaceDN w:val="0"/>
        <w:adjustRightInd w:val="0"/>
        <w:rPr>
          <w:rFonts w:asciiTheme="minorHAnsi" w:hAnsiTheme="minorHAnsi" w:cstheme="minorHAnsi"/>
          <w:iCs/>
        </w:rPr>
      </w:pPr>
      <w:r>
        <w:rPr>
          <w:rFonts w:asciiTheme="minorHAnsi" w:hAnsiTheme="minorHAnsi" w:cstheme="minorHAnsi"/>
          <w:iCs/>
        </w:rPr>
        <w:t>College Credit Plus</w:t>
      </w:r>
    </w:p>
    <w:p w14:paraId="415478ED" w14:textId="77B0D038" w:rsidR="00B91BDC" w:rsidRPr="002724B6" w:rsidRDefault="00B91BDC" w:rsidP="000D7741">
      <w:pPr>
        <w:rPr>
          <w:rFonts w:asciiTheme="minorHAnsi" w:hAnsiTheme="minorHAnsi" w:cstheme="minorHAnsi"/>
          <w:b/>
        </w:rPr>
      </w:pPr>
    </w:p>
    <w:sectPr w:rsidR="00B91BDC" w:rsidRPr="002724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1562" w14:textId="77777777" w:rsidR="00E558F4" w:rsidRDefault="00E558F4" w:rsidP="00615067">
      <w:r>
        <w:separator/>
      </w:r>
    </w:p>
  </w:endnote>
  <w:endnote w:type="continuationSeparator" w:id="0">
    <w:p w14:paraId="59C5B1DA" w14:textId="77777777" w:rsidR="00E558F4" w:rsidRDefault="00E558F4" w:rsidP="00615067">
      <w:r>
        <w:continuationSeparator/>
      </w:r>
    </w:p>
  </w:endnote>
  <w:endnote w:id="1">
    <w:p w14:paraId="74545307" w14:textId="228B71B7" w:rsidR="00615067" w:rsidRPr="00A0030F" w:rsidRDefault="00615067" w:rsidP="00615067">
      <w:pPr>
        <w:tabs>
          <w:tab w:val="left" w:pos="360"/>
        </w:tabs>
        <w:autoSpaceDE w:val="0"/>
        <w:autoSpaceDN w:val="0"/>
        <w:adjustRightInd w:val="0"/>
        <w:rPr>
          <w:rFonts w:asciiTheme="minorHAnsi" w:hAnsiTheme="minorHAnsi" w:cstheme="minorHAnsi"/>
          <w:iCs/>
          <w:sz w:val="20"/>
          <w:szCs w:val="20"/>
        </w:rPr>
      </w:pPr>
      <w:r w:rsidRPr="00A0030F">
        <w:rPr>
          <w:rStyle w:val="EndnoteReference"/>
          <w:sz w:val="20"/>
          <w:szCs w:val="20"/>
        </w:rPr>
        <w:endnoteRef/>
      </w:r>
      <w:r w:rsidRPr="00A0030F">
        <w:rPr>
          <w:rFonts w:asciiTheme="minorHAnsi" w:hAnsiTheme="minorHAnsi" w:cstheme="minorHAnsi"/>
          <w:iCs/>
          <w:sz w:val="20"/>
          <w:szCs w:val="20"/>
        </w:rPr>
        <w:t xml:space="preserve"> Demographic factors illustrated by many YSU students have been associated with the need for additional support in composition; that need is satisfactorily addressed by requiring two writing classes, not one.  YSU’s peers (Cleveland State, Columbus State, U of Akron) require 6 credit hours in composition to satisfy the General Education Requirement.  Universities that serve a similar student population recognize the need for two required courses in composition.  Further, our experience tells us that YSU students often struggle with writing </w:t>
      </w:r>
      <w:r w:rsidRPr="00A0030F">
        <w:rPr>
          <w:rFonts w:asciiTheme="minorHAnsi" w:hAnsiTheme="minorHAnsi" w:cstheme="minorHAnsi"/>
          <w:i/>
          <w:iCs/>
          <w:sz w:val="20"/>
          <w:szCs w:val="20"/>
        </w:rPr>
        <w:t>after</w:t>
      </w:r>
      <w:r w:rsidRPr="00A0030F">
        <w:rPr>
          <w:rFonts w:asciiTheme="minorHAnsi" w:hAnsiTheme="minorHAnsi" w:cstheme="minorHAnsi"/>
          <w:iCs/>
          <w:sz w:val="20"/>
          <w:szCs w:val="20"/>
        </w:rPr>
        <w:t xml:space="preserve"> taking two composition courses because developing proficiency in writing takes time.  Students need extended practice in writing and attention and feedback from a writing instructor to improve as a writer.  Finally, reducing the required number of composition courses will likely have detrimental effects on retention, DFW, and graduation rates.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D747" w14:textId="77777777" w:rsidR="00E558F4" w:rsidRDefault="00E558F4" w:rsidP="00615067">
      <w:r>
        <w:separator/>
      </w:r>
    </w:p>
  </w:footnote>
  <w:footnote w:type="continuationSeparator" w:id="0">
    <w:p w14:paraId="63765CFE" w14:textId="77777777" w:rsidR="00E558F4" w:rsidRDefault="00E558F4" w:rsidP="00615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4772"/>
    <w:multiLevelType w:val="hybridMultilevel"/>
    <w:tmpl w:val="29F86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A33BDF"/>
    <w:multiLevelType w:val="hybridMultilevel"/>
    <w:tmpl w:val="52945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D934C0"/>
    <w:multiLevelType w:val="hybridMultilevel"/>
    <w:tmpl w:val="DF58C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33731"/>
    <w:multiLevelType w:val="hybridMultilevel"/>
    <w:tmpl w:val="105AB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EF5870"/>
    <w:multiLevelType w:val="hybridMultilevel"/>
    <w:tmpl w:val="BE263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EB3D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487E36"/>
    <w:multiLevelType w:val="hybridMultilevel"/>
    <w:tmpl w:val="88DA8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9410CB"/>
    <w:multiLevelType w:val="hybridMultilevel"/>
    <w:tmpl w:val="E0A0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B01FD"/>
    <w:multiLevelType w:val="multilevel"/>
    <w:tmpl w:val="04323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EC5130"/>
    <w:multiLevelType w:val="hybridMultilevel"/>
    <w:tmpl w:val="F02ECB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D465A1"/>
    <w:multiLevelType w:val="hybridMultilevel"/>
    <w:tmpl w:val="43163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5B80"/>
    <w:multiLevelType w:val="hybridMultilevel"/>
    <w:tmpl w:val="31E0B7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A1F88"/>
    <w:multiLevelType w:val="hybridMultilevel"/>
    <w:tmpl w:val="B658C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C42D2D"/>
    <w:multiLevelType w:val="hybridMultilevel"/>
    <w:tmpl w:val="966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D0C2C"/>
    <w:multiLevelType w:val="hybridMultilevel"/>
    <w:tmpl w:val="4698A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A233A"/>
    <w:multiLevelType w:val="hybridMultilevel"/>
    <w:tmpl w:val="5F662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362CA4"/>
    <w:multiLevelType w:val="hybridMultilevel"/>
    <w:tmpl w:val="AC9E9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E7309"/>
    <w:multiLevelType w:val="hybridMultilevel"/>
    <w:tmpl w:val="31EED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6F3C99"/>
    <w:multiLevelType w:val="hybridMultilevel"/>
    <w:tmpl w:val="EF2E6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32940"/>
    <w:multiLevelType w:val="hybridMultilevel"/>
    <w:tmpl w:val="BC56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D7DC4"/>
    <w:multiLevelType w:val="hybridMultilevel"/>
    <w:tmpl w:val="3710E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FB2DF0"/>
    <w:multiLevelType w:val="hybridMultilevel"/>
    <w:tmpl w:val="F2BA8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4304D8"/>
    <w:multiLevelType w:val="hybridMultilevel"/>
    <w:tmpl w:val="18A84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3232889">
    <w:abstractNumId w:val="19"/>
  </w:num>
  <w:num w:numId="2" w16cid:durableId="1750540304">
    <w:abstractNumId w:val="5"/>
  </w:num>
  <w:num w:numId="3" w16cid:durableId="778331533">
    <w:abstractNumId w:val="13"/>
  </w:num>
  <w:num w:numId="4" w16cid:durableId="1043334168">
    <w:abstractNumId w:val="7"/>
  </w:num>
  <w:num w:numId="5" w16cid:durableId="1378973655">
    <w:abstractNumId w:val="4"/>
  </w:num>
  <w:num w:numId="6" w16cid:durableId="270208390">
    <w:abstractNumId w:val="22"/>
  </w:num>
  <w:num w:numId="7" w16cid:durableId="759839290">
    <w:abstractNumId w:val="20"/>
  </w:num>
  <w:num w:numId="8" w16cid:durableId="1655717570">
    <w:abstractNumId w:val="10"/>
  </w:num>
  <w:num w:numId="9" w16cid:durableId="1150832889">
    <w:abstractNumId w:val="12"/>
  </w:num>
  <w:num w:numId="10" w16cid:durableId="1430151485">
    <w:abstractNumId w:val="15"/>
  </w:num>
  <w:num w:numId="11" w16cid:durableId="1440487717">
    <w:abstractNumId w:val="1"/>
  </w:num>
  <w:num w:numId="12" w16cid:durableId="743189226">
    <w:abstractNumId w:val="21"/>
  </w:num>
  <w:num w:numId="13" w16cid:durableId="337582936">
    <w:abstractNumId w:val="9"/>
  </w:num>
  <w:num w:numId="14" w16cid:durableId="96876550">
    <w:abstractNumId w:val="17"/>
  </w:num>
  <w:num w:numId="15" w16cid:durableId="1362824973">
    <w:abstractNumId w:val="3"/>
  </w:num>
  <w:num w:numId="16" w16cid:durableId="942956371">
    <w:abstractNumId w:val="6"/>
  </w:num>
  <w:num w:numId="17" w16cid:durableId="377517121">
    <w:abstractNumId w:val="18"/>
  </w:num>
  <w:num w:numId="18" w16cid:durableId="1892229295">
    <w:abstractNumId w:val="8"/>
  </w:num>
  <w:num w:numId="19" w16cid:durableId="92171710">
    <w:abstractNumId w:val="11"/>
  </w:num>
  <w:num w:numId="20" w16cid:durableId="487982374">
    <w:abstractNumId w:val="0"/>
  </w:num>
  <w:num w:numId="21" w16cid:durableId="2106413082">
    <w:abstractNumId w:val="16"/>
  </w:num>
  <w:num w:numId="22" w16cid:durableId="1063526005">
    <w:abstractNumId w:val="14"/>
  </w:num>
  <w:num w:numId="23" w16cid:durableId="963467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D5"/>
    <w:rsid w:val="00017522"/>
    <w:rsid w:val="00024196"/>
    <w:rsid w:val="00077285"/>
    <w:rsid w:val="000A39DD"/>
    <w:rsid w:val="000D7741"/>
    <w:rsid w:val="000F3062"/>
    <w:rsid w:val="000F7546"/>
    <w:rsid w:val="00101049"/>
    <w:rsid w:val="00107E1A"/>
    <w:rsid w:val="001113A5"/>
    <w:rsid w:val="001228DF"/>
    <w:rsid w:val="00133AB4"/>
    <w:rsid w:val="001905A9"/>
    <w:rsid w:val="001B1EFA"/>
    <w:rsid w:val="001B7167"/>
    <w:rsid w:val="001C3CD5"/>
    <w:rsid w:val="001C7DCB"/>
    <w:rsid w:val="001E666A"/>
    <w:rsid w:val="001E68E3"/>
    <w:rsid w:val="002379BF"/>
    <w:rsid w:val="002724B6"/>
    <w:rsid w:val="00275BF2"/>
    <w:rsid w:val="002B1B56"/>
    <w:rsid w:val="002F4D11"/>
    <w:rsid w:val="00300086"/>
    <w:rsid w:val="003255DC"/>
    <w:rsid w:val="003268C3"/>
    <w:rsid w:val="00347ACC"/>
    <w:rsid w:val="00380EDC"/>
    <w:rsid w:val="003A2ED6"/>
    <w:rsid w:val="003B26AC"/>
    <w:rsid w:val="003C1BFD"/>
    <w:rsid w:val="003C4CA6"/>
    <w:rsid w:val="003C53DD"/>
    <w:rsid w:val="00432680"/>
    <w:rsid w:val="00435B7D"/>
    <w:rsid w:val="004740DC"/>
    <w:rsid w:val="00474BE1"/>
    <w:rsid w:val="004A103F"/>
    <w:rsid w:val="004C0F1F"/>
    <w:rsid w:val="004F71BA"/>
    <w:rsid w:val="00516FC3"/>
    <w:rsid w:val="005335AB"/>
    <w:rsid w:val="005B4E14"/>
    <w:rsid w:val="005C00E2"/>
    <w:rsid w:val="005C5F4E"/>
    <w:rsid w:val="00615067"/>
    <w:rsid w:val="00623C88"/>
    <w:rsid w:val="00673BAD"/>
    <w:rsid w:val="00687072"/>
    <w:rsid w:val="0069455A"/>
    <w:rsid w:val="006A7F88"/>
    <w:rsid w:val="006F1C00"/>
    <w:rsid w:val="00714B13"/>
    <w:rsid w:val="007152E2"/>
    <w:rsid w:val="0074105F"/>
    <w:rsid w:val="00754A1E"/>
    <w:rsid w:val="00761F9B"/>
    <w:rsid w:val="00784A55"/>
    <w:rsid w:val="0078609C"/>
    <w:rsid w:val="00791E8C"/>
    <w:rsid w:val="007F162F"/>
    <w:rsid w:val="007F37A6"/>
    <w:rsid w:val="00815A90"/>
    <w:rsid w:val="00833F76"/>
    <w:rsid w:val="008477CF"/>
    <w:rsid w:val="00884B08"/>
    <w:rsid w:val="008B1D3B"/>
    <w:rsid w:val="008B63F8"/>
    <w:rsid w:val="008C13DC"/>
    <w:rsid w:val="008C386B"/>
    <w:rsid w:val="008E76F6"/>
    <w:rsid w:val="009200A7"/>
    <w:rsid w:val="00920A41"/>
    <w:rsid w:val="00932268"/>
    <w:rsid w:val="009863F2"/>
    <w:rsid w:val="00992698"/>
    <w:rsid w:val="009B0E65"/>
    <w:rsid w:val="009B621C"/>
    <w:rsid w:val="009C21B3"/>
    <w:rsid w:val="00A0030F"/>
    <w:rsid w:val="00A009F4"/>
    <w:rsid w:val="00A53E31"/>
    <w:rsid w:val="00A652DF"/>
    <w:rsid w:val="00A73BA9"/>
    <w:rsid w:val="00A77D35"/>
    <w:rsid w:val="00A91FFB"/>
    <w:rsid w:val="00AF759C"/>
    <w:rsid w:val="00B20F48"/>
    <w:rsid w:val="00B53112"/>
    <w:rsid w:val="00B91BDC"/>
    <w:rsid w:val="00C17C08"/>
    <w:rsid w:val="00C40934"/>
    <w:rsid w:val="00C431C4"/>
    <w:rsid w:val="00C524B5"/>
    <w:rsid w:val="00C52504"/>
    <w:rsid w:val="00C93F9B"/>
    <w:rsid w:val="00D069DD"/>
    <w:rsid w:val="00D6157F"/>
    <w:rsid w:val="00D719FD"/>
    <w:rsid w:val="00D81025"/>
    <w:rsid w:val="00DE1975"/>
    <w:rsid w:val="00DE4A1A"/>
    <w:rsid w:val="00DF6C21"/>
    <w:rsid w:val="00E224EA"/>
    <w:rsid w:val="00E44414"/>
    <w:rsid w:val="00E558F4"/>
    <w:rsid w:val="00E95064"/>
    <w:rsid w:val="00EA33EB"/>
    <w:rsid w:val="00EC4EC4"/>
    <w:rsid w:val="00EF08C9"/>
    <w:rsid w:val="00F1076C"/>
    <w:rsid w:val="00F306F8"/>
    <w:rsid w:val="00F314DD"/>
    <w:rsid w:val="00F329E0"/>
    <w:rsid w:val="00F417FF"/>
    <w:rsid w:val="00F85E67"/>
    <w:rsid w:val="00FA7E45"/>
    <w:rsid w:val="00FB240F"/>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EE8"/>
  <w15:chartTrackingRefBased/>
  <w15:docId w15:val="{2C4FD5C2-7848-43AC-8589-F037CB0C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D5"/>
    <w:pPr>
      <w:ind w:left="720"/>
      <w:contextualSpacing/>
    </w:pPr>
  </w:style>
  <w:style w:type="paragraph" w:styleId="EndnoteText">
    <w:name w:val="endnote text"/>
    <w:basedOn w:val="Normal"/>
    <w:link w:val="EndnoteTextChar"/>
    <w:uiPriority w:val="99"/>
    <w:semiHidden/>
    <w:unhideWhenUsed/>
    <w:rsid w:val="00615067"/>
    <w:rPr>
      <w:sz w:val="20"/>
      <w:szCs w:val="20"/>
    </w:rPr>
  </w:style>
  <w:style w:type="character" w:customStyle="1" w:styleId="EndnoteTextChar">
    <w:name w:val="Endnote Text Char"/>
    <w:basedOn w:val="DefaultParagraphFont"/>
    <w:link w:val="EndnoteText"/>
    <w:uiPriority w:val="99"/>
    <w:semiHidden/>
    <w:rsid w:val="00615067"/>
    <w:rPr>
      <w:sz w:val="20"/>
      <w:szCs w:val="20"/>
    </w:rPr>
  </w:style>
  <w:style w:type="character" w:styleId="EndnoteReference">
    <w:name w:val="endnote reference"/>
    <w:basedOn w:val="DefaultParagraphFont"/>
    <w:uiPriority w:val="99"/>
    <w:semiHidden/>
    <w:unhideWhenUsed/>
    <w:rsid w:val="00615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f2cd39-2627-4bc0-b74c-cc8d7db398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1BEA16AD6D945B8DA45BB2ADD7DE2" ma:contentTypeVersion="14" ma:contentTypeDescription="Create a new document." ma:contentTypeScope="" ma:versionID="46626896027a069fdcb42e3234bd595d">
  <xsd:schema xmlns:xsd="http://www.w3.org/2001/XMLSchema" xmlns:xs="http://www.w3.org/2001/XMLSchema" xmlns:p="http://schemas.microsoft.com/office/2006/metadata/properties" xmlns:ns3="78f2cd39-2627-4bc0-b74c-cc8d7db39831" xmlns:ns4="46fa9c9f-fda4-491b-85b4-963ba3579ba1" targetNamespace="http://schemas.microsoft.com/office/2006/metadata/properties" ma:root="true" ma:fieldsID="560098121bef2b5e57eb3b49134a3375" ns3:_="" ns4:_="">
    <xsd:import namespace="78f2cd39-2627-4bc0-b74c-cc8d7db39831"/>
    <xsd:import namespace="46fa9c9f-fda4-491b-85b4-963ba3579b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2cd39-2627-4bc0-b74c-cc8d7db39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9c9f-fda4-491b-85b4-963ba3579b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6D39E-7FCC-48A4-A042-79B49E002EEB}">
  <ds:schemaRefs>
    <ds:schemaRef ds:uri="http://schemas.microsoft.com/office/2006/metadata/properties"/>
    <ds:schemaRef ds:uri="http://schemas.microsoft.com/office/infopath/2007/PartnerControls"/>
    <ds:schemaRef ds:uri="78f2cd39-2627-4bc0-b74c-cc8d7db39831"/>
  </ds:schemaRefs>
</ds:datastoreItem>
</file>

<file path=customXml/itemProps2.xml><?xml version="1.0" encoding="utf-8"?>
<ds:datastoreItem xmlns:ds="http://schemas.openxmlformats.org/officeDocument/2006/customXml" ds:itemID="{064EB5C7-C167-4962-8BA7-B115A70D4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2cd39-2627-4bc0-b74c-cc8d7db39831"/>
    <ds:schemaRef ds:uri="46fa9c9f-fda4-491b-85b4-963ba3579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2529A-C4C2-493A-9230-D56FB0D8A495}">
  <ds:schemaRefs>
    <ds:schemaRef ds:uri="http://schemas.openxmlformats.org/officeDocument/2006/bibliography"/>
  </ds:schemaRefs>
</ds:datastoreItem>
</file>

<file path=customXml/itemProps4.xml><?xml version="1.0" encoding="utf-8"?>
<ds:datastoreItem xmlns:ds="http://schemas.openxmlformats.org/officeDocument/2006/customXml" ds:itemID="{06807AE3-C594-4C35-AE9B-96EEB775D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Buchanan</dc:creator>
  <cp:keywords/>
  <dc:description/>
  <cp:lastModifiedBy>Jeff Buchanan</cp:lastModifiedBy>
  <cp:revision>105</cp:revision>
  <dcterms:created xsi:type="dcterms:W3CDTF">2023-06-05T14:57:00Z</dcterms:created>
  <dcterms:modified xsi:type="dcterms:W3CDTF">2023-09-06T15:03:00Z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0x010100FA61BEA16AD6D945B8DA45BB2ADD7DE2</vt:lpwstr>
  </property>
</Properties>
</file>