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AC16C" w14:textId="6E46072D" w:rsidR="003A0C08" w:rsidRPr="0079044A" w:rsidRDefault="003A0C08" w:rsidP="00F814C3">
      <w:pPr>
        <w:pStyle w:val="NoSpacing"/>
        <w:rPr>
          <w:rFonts w:ascii="Times New Roman" w:hAnsi="Times New Roman" w:cs="Times New Roman"/>
          <w:b/>
        </w:rPr>
      </w:pPr>
      <w:r w:rsidRPr="0079044A">
        <w:rPr>
          <w:rFonts w:ascii="Times New Roman" w:hAnsi="Times New Roman" w:cs="Times New Roman"/>
          <w:b/>
        </w:rPr>
        <w:t xml:space="preserve">Proposal: Support </w:t>
      </w:r>
      <w:r w:rsidR="002051B1">
        <w:rPr>
          <w:rFonts w:ascii="Times New Roman" w:hAnsi="Times New Roman" w:cs="Times New Roman"/>
          <w:b/>
        </w:rPr>
        <w:t>s</w:t>
      </w:r>
      <w:r w:rsidRPr="0079044A">
        <w:rPr>
          <w:rFonts w:ascii="Times New Roman" w:hAnsi="Times New Roman" w:cs="Times New Roman"/>
          <w:b/>
        </w:rPr>
        <w:t>tudents on Academic Warning</w:t>
      </w:r>
      <w:r w:rsidR="0079044A" w:rsidRPr="0079044A">
        <w:rPr>
          <w:rFonts w:ascii="Times New Roman" w:hAnsi="Times New Roman" w:cs="Times New Roman"/>
          <w:b/>
        </w:rPr>
        <w:t xml:space="preserve"> by </w:t>
      </w:r>
      <w:r w:rsidR="0079044A">
        <w:rPr>
          <w:rFonts w:ascii="Times New Roman" w:hAnsi="Times New Roman" w:cs="Times New Roman"/>
          <w:b/>
        </w:rPr>
        <w:t>modify</w:t>
      </w:r>
      <w:r w:rsidR="0079044A" w:rsidRPr="0079044A">
        <w:rPr>
          <w:rFonts w:ascii="Times New Roman" w:hAnsi="Times New Roman" w:cs="Times New Roman"/>
          <w:b/>
        </w:rPr>
        <w:t>ing the Academic Standing and Dismissal Policy</w:t>
      </w:r>
    </w:p>
    <w:p w14:paraId="3B5A9379" w14:textId="77777777" w:rsidR="003A0C08" w:rsidRPr="0079044A" w:rsidRDefault="003A0C08" w:rsidP="00F814C3">
      <w:pPr>
        <w:pStyle w:val="NoSpacing"/>
        <w:rPr>
          <w:rFonts w:ascii="Times New Roman" w:hAnsi="Times New Roman" w:cs="Times New Roman"/>
        </w:rPr>
      </w:pPr>
    </w:p>
    <w:p w14:paraId="11DB1003" w14:textId="1DF41C2C" w:rsidR="0020206A" w:rsidRPr="0079044A" w:rsidRDefault="0079044A" w:rsidP="00F814C3">
      <w:pPr>
        <w:pStyle w:val="NoSpacing"/>
        <w:rPr>
          <w:rFonts w:ascii="Times New Roman" w:hAnsi="Times New Roman" w:cs="Times New Roman"/>
        </w:rPr>
      </w:pPr>
      <w:r>
        <w:rPr>
          <w:rFonts w:ascii="Times New Roman" w:hAnsi="Times New Roman" w:cs="Times New Roman"/>
        </w:rPr>
        <w:tab/>
      </w:r>
      <w:r w:rsidR="00F2788B" w:rsidRPr="0079044A">
        <w:rPr>
          <w:rFonts w:ascii="Times New Roman" w:hAnsi="Times New Roman" w:cs="Times New Roman"/>
        </w:rPr>
        <w:t xml:space="preserve">YSU retention data shows </w:t>
      </w:r>
      <w:r w:rsidR="0014434B" w:rsidRPr="0079044A">
        <w:rPr>
          <w:rFonts w:ascii="Times New Roman" w:hAnsi="Times New Roman" w:cs="Times New Roman"/>
        </w:rPr>
        <w:t>f</w:t>
      </w:r>
      <w:r w:rsidR="0025631B" w:rsidRPr="0079044A">
        <w:rPr>
          <w:rFonts w:ascii="Times New Roman" w:hAnsi="Times New Roman" w:cs="Times New Roman"/>
        </w:rPr>
        <w:t>irst-time freshmen</w:t>
      </w:r>
      <w:r w:rsidR="00A276B2" w:rsidRPr="0079044A">
        <w:rPr>
          <w:rFonts w:ascii="Times New Roman" w:hAnsi="Times New Roman" w:cs="Times New Roman"/>
        </w:rPr>
        <w:t xml:space="preserve"> who complete their first term with a </w:t>
      </w:r>
      <w:r w:rsidR="00F2788B" w:rsidRPr="0079044A">
        <w:rPr>
          <w:rFonts w:ascii="Times New Roman" w:hAnsi="Times New Roman" w:cs="Times New Roman"/>
        </w:rPr>
        <w:t xml:space="preserve">GPA of 2.0 or higher </w:t>
      </w:r>
      <w:r w:rsidR="00A276B2" w:rsidRPr="0079044A">
        <w:rPr>
          <w:rFonts w:ascii="Times New Roman" w:hAnsi="Times New Roman" w:cs="Times New Roman"/>
        </w:rPr>
        <w:t xml:space="preserve">persist </w:t>
      </w:r>
      <w:r w:rsidR="0025631B" w:rsidRPr="0079044A">
        <w:rPr>
          <w:rFonts w:ascii="Times New Roman" w:hAnsi="Times New Roman" w:cs="Times New Roman"/>
        </w:rPr>
        <w:t xml:space="preserve">to the second year </w:t>
      </w:r>
      <w:r w:rsidR="00A276B2" w:rsidRPr="0079044A">
        <w:rPr>
          <w:rFonts w:ascii="Times New Roman" w:hAnsi="Times New Roman" w:cs="Times New Roman"/>
        </w:rPr>
        <w:t xml:space="preserve">at </w:t>
      </w:r>
      <w:r w:rsidR="00F2788B" w:rsidRPr="0079044A">
        <w:rPr>
          <w:rFonts w:ascii="Times New Roman" w:hAnsi="Times New Roman" w:cs="Times New Roman"/>
        </w:rPr>
        <w:t>far higher</w:t>
      </w:r>
      <w:r w:rsidR="00A276B2" w:rsidRPr="0079044A">
        <w:rPr>
          <w:rFonts w:ascii="Times New Roman" w:hAnsi="Times New Roman" w:cs="Times New Roman"/>
        </w:rPr>
        <w:t xml:space="preserve"> rate than their peers who complete their first term with a</w:t>
      </w:r>
      <w:r w:rsidR="00F2788B" w:rsidRPr="0079044A">
        <w:rPr>
          <w:rFonts w:ascii="Times New Roman" w:hAnsi="Times New Roman" w:cs="Times New Roman"/>
        </w:rPr>
        <w:t xml:space="preserve"> GPA below 2.0</w:t>
      </w:r>
      <w:r w:rsidR="00A276B2" w:rsidRPr="0079044A">
        <w:rPr>
          <w:rFonts w:ascii="Times New Roman" w:hAnsi="Times New Roman" w:cs="Times New Roman"/>
        </w:rPr>
        <w:t xml:space="preserve">. </w:t>
      </w:r>
      <w:r w:rsidR="0014434B" w:rsidRPr="0079044A">
        <w:rPr>
          <w:rFonts w:ascii="Times New Roman" w:hAnsi="Times New Roman" w:cs="Times New Roman"/>
        </w:rPr>
        <w:t xml:space="preserve"> In response, </w:t>
      </w:r>
      <w:r w:rsidR="00F814C3" w:rsidRPr="0079044A">
        <w:rPr>
          <w:rFonts w:ascii="Times New Roman" w:hAnsi="Times New Roman" w:cs="Times New Roman"/>
        </w:rPr>
        <w:t>YSU has implemented strategies to help students in their first semester succe</w:t>
      </w:r>
      <w:r w:rsidR="002C2602" w:rsidRPr="0079044A">
        <w:rPr>
          <w:rFonts w:ascii="Times New Roman" w:hAnsi="Times New Roman" w:cs="Times New Roman"/>
        </w:rPr>
        <w:t xml:space="preserve">ed academically.  </w:t>
      </w:r>
      <w:r w:rsidR="00F814C3" w:rsidRPr="0079044A">
        <w:rPr>
          <w:rFonts w:ascii="Times New Roman" w:hAnsi="Times New Roman" w:cs="Times New Roman"/>
        </w:rPr>
        <w:t>These include requiring all regularly admitted students to take YSU 1500 in their first semester, requiring conditionally admitted freshmen to take Strong Start 1500 in their first semester and participate in individual coaching, and lowering advising loads for advisors who work with first year students to increase individual attention and strengthen alert outreach efforts.</w:t>
      </w:r>
      <w:r w:rsidR="006A0BDF" w:rsidRPr="0079044A">
        <w:rPr>
          <w:rFonts w:ascii="Times New Roman" w:hAnsi="Times New Roman" w:cs="Times New Roman"/>
        </w:rPr>
        <w:t xml:space="preserve"> </w:t>
      </w:r>
      <w:r w:rsidR="00142D8D" w:rsidRPr="0079044A">
        <w:rPr>
          <w:rFonts w:ascii="Times New Roman" w:hAnsi="Times New Roman" w:cs="Times New Roman"/>
        </w:rPr>
        <w:t>These strategies</w:t>
      </w:r>
      <w:r w:rsidR="0014434B" w:rsidRPr="0079044A">
        <w:rPr>
          <w:rFonts w:ascii="Times New Roman" w:hAnsi="Times New Roman" w:cs="Times New Roman"/>
        </w:rPr>
        <w:t xml:space="preserve"> have resulted in a greater percent of students who complete their first semester in good academic standing, up from 84.7% in Fall 2020 to 86.6% in Fall 2022,</w:t>
      </w:r>
    </w:p>
    <w:p w14:paraId="12098E1A" w14:textId="77777777" w:rsidR="0020206A" w:rsidRPr="0079044A" w:rsidRDefault="0020206A" w:rsidP="00F814C3">
      <w:pPr>
        <w:pStyle w:val="NoSpacing"/>
        <w:rPr>
          <w:rFonts w:ascii="Times New Roman" w:hAnsi="Times New Roman" w:cs="Times New Roman"/>
        </w:rPr>
      </w:pPr>
    </w:p>
    <w:p w14:paraId="4C6A0C5A" w14:textId="69A341FF" w:rsidR="00091A8C" w:rsidRPr="0079044A" w:rsidRDefault="00C51740" w:rsidP="00636993">
      <w:pPr>
        <w:pStyle w:val="NoSpacing"/>
        <w:rPr>
          <w:rFonts w:ascii="Times New Roman" w:hAnsi="Times New Roman" w:cs="Times New Roman"/>
        </w:rPr>
      </w:pPr>
      <w:r w:rsidRPr="0079044A">
        <w:rPr>
          <w:rFonts w:ascii="Times New Roman" w:hAnsi="Times New Roman" w:cs="Times New Roman"/>
        </w:rPr>
        <w:tab/>
      </w:r>
      <w:r w:rsidR="00636993" w:rsidRPr="0079044A">
        <w:rPr>
          <w:rFonts w:ascii="Times New Roman" w:hAnsi="Times New Roman" w:cs="Times New Roman"/>
        </w:rPr>
        <w:t>Despite YSU</w:t>
      </w:r>
      <w:r w:rsidR="00142D8D" w:rsidRPr="0079044A">
        <w:rPr>
          <w:rFonts w:ascii="Times New Roman" w:hAnsi="Times New Roman" w:cs="Times New Roman"/>
        </w:rPr>
        <w:t>’s</w:t>
      </w:r>
      <w:r w:rsidR="00636993" w:rsidRPr="0079044A">
        <w:rPr>
          <w:rFonts w:ascii="Times New Roman" w:hAnsi="Times New Roman" w:cs="Times New Roman"/>
        </w:rPr>
        <w:t xml:space="preserve"> progress</w:t>
      </w:r>
      <w:r w:rsidR="00142D8D" w:rsidRPr="0079044A">
        <w:rPr>
          <w:rFonts w:ascii="Times New Roman" w:hAnsi="Times New Roman" w:cs="Times New Roman"/>
        </w:rPr>
        <w:t xml:space="preserve"> </w:t>
      </w:r>
      <w:r w:rsidR="00091A8C" w:rsidRPr="0079044A">
        <w:rPr>
          <w:rFonts w:ascii="Times New Roman" w:hAnsi="Times New Roman" w:cs="Times New Roman"/>
        </w:rPr>
        <w:t xml:space="preserve">in improving first-semester grade outcomes, </w:t>
      </w:r>
      <w:r w:rsidR="00636993" w:rsidRPr="0079044A">
        <w:rPr>
          <w:rFonts w:ascii="Times New Roman" w:hAnsi="Times New Roman" w:cs="Times New Roman"/>
        </w:rPr>
        <w:t>a significant numb</w:t>
      </w:r>
      <w:r w:rsidR="00091A8C" w:rsidRPr="0079044A">
        <w:rPr>
          <w:rFonts w:ascii="Times New Roman" w:hAnsi="Times New Roman" w:cs="Times New Roman"/>
        </w:rPr>
        <w:t>e</w:t>
      </w:r>
      <w:r w:rsidR="00636993" w:rsidRPr="0079044A">
        <w:rPr>
          <w:rFonts w:ascii="Times New Roman" w:hAnsi="Times New Roman" w:cs="Times New Roman"/>
        </w:rPr>
        <w:t xml:space="preserve">r </w:t>
      </w:r>
      <w:r w:rsidR="003D109A" w:rsidRPr="0079044A">
        <w:rPr>
          <w:rFonts w:ascii="Times New Roman" w:hAnsi="Times New Roman" w:cs="Times New Roman"/>
        </w:rPr>
        <w:t xml:space="preserve">of students </w:t>
      </w:r>
      <w:r w:rsidR="00636993" w:rsidRPr="0079044A">
        <w:rPr>
          <w:rFonts w:ascii="Times New Roman" w:hAnsi="Times New Roman" w:cs="Times New Roman"/>
        </w:rPr>
        <w:t xml:space="preserve">complete their first semester </w:t>
      </w:r>
      <w:r w:rsidR="003D109A" w:rsidRPr="0079044A">
        <w:rPr>
          <w:rFonts w:ascii="Times New Roman" w:hAnsi="Times New Roman" w:cs="Times New Roman"/>
        </w:rPr>
        <w:t xml:space="preserve">on academic warning </w:t>
      </w:r>
      <w:r w:rsidR="00636993" w:rsidRPr="0079044A">
        <w:rPr>
          <w:rFonts w:ascii="Times New Roman" w:hAnsi="Times New Roman" w:cs="Times New Roman"/>
        </w:rPr>
        <w:t xml:space="preserve">with a CUM GPA </w:t>
      </w:r>
      <w:r w:rsidR="003D109A" w:rsidRPr="0079044A">
        <w:rPr>
          <w:rFonts w:ascii="Times New Roman" w:hAnsi="Times New Roman" w:cs="Times New Roman"/>
        </w:rPr>
        <w:t>below</w:t>
      </w:r>
      <w:r w:rsidR="00636993" w:rsidRPr="0079044A">
        <w:rPr>
          <w:rFonts w:ascii="Times New Roman" w:hAnsi="Times New Roman" w:cs="Times New Roman"/>
        </w:rPr>
        <w:t xml:space="preserve"> 2.0.  On average over the past three years, over 13% of students in each cohort</w:t>
      </w:r>
      <w:r w:rsidR="00091A8C" w:rsidRPr="0079044A">
        <w:rPr>
          <w:rFonts w:ascii="Times New Roman" w:hAnsi="Times New Roman" w:cs="Times New Roman"/>
        </w:rPr>
        <w:t xml:space="preserve"> (an average of 220 each fall) </w:t>
      </w:r>
      <w:r w:rsidR="00636993" w:rsidRPr="0079044A">
        <w:rPr>
          <w:rFonts w:ascii="Times New Roman" w:hAnsi="Times New Roman" w:cs="Times New Roman"/>
        </w:rPr>
        <w:t xml:space="preserve">failed to achieve good academic standing after their first semester.  </w:t>
      </w:r>
      <w:r w:rsidR="00091A8C" w:rsidRPr="0079044A">
        <w:rPr>
          <w:rFonts w:ascii="Times New Roman" w:hAnsi="Times New Roman" w:cs="Times New Roman"/>
        </w:rPr>
        <w:t>About half</w:t>
      </w:r>
      <w:r w:rsidR="003D109A" w:rsidRPr="0079044A">
        <w:rPr>
          <w:rFonts w:ascii="Times New Roman" w:hAnsi="Times New Roman" w:cs="Times New Roman"/>
        </w:rPr>
        <w:t>, still hopeful and committed,</w:t>
      </w:r>
      <w:r w:rsidR="00091A8C" w:rsidRPr="0079044A">
        <w:rPr>
          <w:rFonts w:ascii="Times New Roman" w:hAnsi="Times New Roman" w:cs="Times New Roman"/>
        </w:rPr>
        <w:t xml:space="preserve"> returned for the second semester</w:t>
      </w:r>
      <w:r w:rsidR="003D109A" w:rsidRPr="0079044A">
        <w:rPr>
          <w:rFonts w:ascii="Times New Roman" w:hAnsi="Times New Roman" w:cs="Times New Roman"/>
        </w:rPr>
        <w:t>.</w:t>
      </w:r>
    </w:p>
    <w:p w14:paraId="75277F3E" w14:textId="77777777" w:rsidR="00091A8C" w:rsidRPr="0079044A" w:rsidRDefault="00091A8C" w:rsidP="00636993">
      <w:pPr>
        <w:pStyle w:val="No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103"/>
        <w:gridCol w:w="1506"/>
        <w:gridCol w:w="1468"/>
        <w:gridCol w:w="1468"/>
      </w:tblGrid>
      <w:tr w:rsidR="00091A8C" w:rsidRPr="0079044A" w14:paraId="1D75E256" w14:textId="77777777" w:rsidTr="00CF409C">
        <w:trPr>
          <w:jc w:val="center"/>
        </w:trPr>
        <w:tc>
          <w:tcPr>
            <w:tcW w:w="5545" w:type="dxa"/>
            <w:gridSpan w:val="4"/>
          </w:tcPr>
          <w:p w14:paraId="1B68C5B8" w14:textId="1C0E269E" w:rsidR="00091A8C" w:rsidRPr="0079044A" w:rsidRDefault="00E531A7" w:rsidP="00CF409C">
            <w:pPr>
              <w:pStyle w:val="NoSpacing"/>
              <w:jc w:val="center"/>
              <w:rPr>
                <w:rFonts w:ascii="Times New Roman" w:hAnsi="Times New Roman" w:cs="Times New Roman"/>
                <w:b/>
                <w:bCs/>
                <w:color w:val="000000"/>
                <w:sz w:val="20"/>
              </w:rPr>
            </w:pPr>
            <w:r>
              <w:rPr>
                <w:rFonts w:ascii="Times New Roman" w:hAnsi="Times New Roman" w:cs="Times New Roman"/>
                <w:b/>
                <w:bCs/>
                <w:color w:val="000000"/>
                <w:sz w:val="20"/>
              </w:rPr>
              <w:t xml:space="preserve">Table 1. </w:t>
            </w:r>
            <w:r w:rsidR="00091A8C" w:rsidRPr="0079044A">
              <w:rPr>
                <w:rFonts w:ascii="Times New Roman" w:hAnsi="Times New Roman" w:cs="Times New Roman"/>
                <w:b/>
                <w:bCs/>
                <w:color w:val="000000"/>
                <w:sz w:val="20"/>
              </w:rPr>
              <w:t>First term CUM GPA &lt; 2.0</w:t>
            </w:r>
          </w:p>
        </w:tc>
      </w:tr>
      <w:tr w:rsidR="00091A8C" w:rsidRPr="0079044A" w14:paraId="6C08EF2A" w14:textId="77777777" w:rsidTr="00CF409C">
        <w:trPr>
          <w:jc w:val="center"/>
        </w:trPr>
        <w:tc>
          <w:tcPr>
            <w:tcW w:w="1103" w:type="dxa"/>
          </w:tcPr>
          <w:p w14:paraId="4E78C373" w14:textId="77777777" w:rsidR="00091A8C" w:rsidRPr="0079044A" w:rsidRDefault="00091A8C" w:rsidP="00CF409C">
            <w:pPr>
              <w:pStyle w:val="NoSpacing"/>
              <w:jc w:val="center"/>
              <w:rPr>
                <w:rFonts w:ascii="Times New Roman" w:hAnsi="Times New Roman" w:cs="Times New Roman"/>
                <w:color w:val="000000"/>
                <w:sz w:val="20"/>
              </w:rPr>
            </w:pPr>
          </w:p>
        </w:tc>
        <w:tc>
          <w:tcPr>
            <w:tcW w:w="1506" w:type="dxa"/>
            <w:tcBorders>
              <w:right w:val="single" w:sz="4" w:space="0" w:color="auto"/>
            </w:tcBorders>
            <w:vAlign w:val="bottom"/>
          </w:tcPr>
          <w:p w14:paraId="09EEF430" w14:textId="77777777" w:rsidR="00091A8C" w:rsidRPr="0079044A" w:rsidRDefault="00091A8C" w:rsidP="00CF409C">
            <w:pPr>
              <w:pStyle w:val="NoSpacing"/>
              <w:jc w:val="center"/>
              <w:rPr>
                <w:rFonts w:ascii="Times New Roman" w:hAnsi="Times New Roman" w:cs="Times New Roman"/>
                <w:b/>
                <w:sz w:val="20"/>
              </w:rPr>
            </w:pPr>
            <w:r w:rsidRPr="0079044A">
              <w:rPr>
                <w:rFonts w:ascii="Times New Roman" w:hAnsi="Times New Roman" w:cs="Times New Roman"/>
                <w:b/>
                <w:color w:val="000000"/>
                <w:sz w:val="20"/>
              </w:rPr>
              <w:t>CUM &lt; 2.0 end of First term</w:t>
            </w:r>
          </w:p>
        </w:tc>
        <w:tc>
          <w:tcPr>
            <w:tcW w:w="1468" w:type="dxa"/>
            <w:tcBorders>
              <w:left w:val="single" w:sz="4" w:space="0" w:color="auto"/>
            </w:tcBorders>
            <w:vAlign w:val="bottom"/>
          </w:tcPr>
          <w:p w14:paraId="2F1A8E02" w14:textId="77777777" w:rsidR="00091A8C" w:rsidRPr="0079044A" w:rsidRDefault="00091A8C" w:rsidP="00CF409C">
            <w:pPr>
              <w:pStyle w:val="NoSpacing"/>
              <w:jc w:val="center"/>
              <w:rPr>
                <w:rFonts w:ascii="Times New Roman" w:hAnsi="Times New Roman" w:cs="Times New Roman"/>
                <w:b/>
                <w:bCs/>
                <w:color w:val="000000"/>
                <w:sz w:val="20"/>
              </w:rPr>
            </w:pPr>
            <w:r w:rsidRPr="0079044A">
              <w:rPr>
                <w:rFonts w:ascii="Times New Roman" w:hAnsi="Times New Roman" w:cs="Times New Roman"/>
                <w:b/>
                <w:bCs/>
                <w:color w:val="000000"/>
                <w:sz w:val="20"/>
              </w:rPr>
              <w:t xml:space="preserve">Returned Spring </w:t>
            </w:r>
          </w:p>
        </w:tc>
        <w:tc>
          <w:tcPr>
            <w:tcW w:w="1468" w:type="dxa"/>
            <w:tcBorders>
              <w:left w:val="single" w:sz="4" w:space="0" w:color="auto"/>
            </w:tcBorders>
          </w:tcPr>
          <w:p w14:paraId="28C6C1E3" w14:textId="77777777" w:rsidR="00091A8C" w:rsidRPr="0079044A" w:rsidRDefault="00091A8C" w:rsidP="00CF409C">
            <w:pPr>
              <w:pStyle w:val="NoSpacing"/>
              <w:jc w:val="center"/>
              <w:rPr>
                <w:rFonts w:ascii="Times New Roman" w:hAnsi="Times New Roman" w:cs="Times New Roman"/>
                <w:b/>
                <w:bCs/>
                <w:color w:val="000000"/>
                <w:sz w:val="20"/>
              </w:rPr>
            </w:pPr>
            <w:r w:rsidRPr="0079044A">
              <w:rPr>
                <w:rFonts w:ascii="Times New Roman" w:hAnsi="Times New Roman" w:cs="Times New Roman"/>
                <w:b/>
                <w:bCs/>
                <w:color w:val="000000"/>
                <w:sz w:val="20"/>
              </w:rPr>
              <w:t>Did not return Spring</w:t>
            </w:r>
          </w:p>
        </w:tc>
      </w:tr>
      <w:tr w:rsidR="00091A8C" w:rsidRPr="0079044A" w14:paraId="46878D5F" w14:textId="77777777" w:rsidTr="00CF409C">
        <w:trPr>
          <w:jc w:val="center"/>
        </w:trPr>
        <w:tc>
          <w:tcPr>
            <w:tcW w:w="1103" w:type="dxa"/>
          </w:tcPr>
          <w:p w14:paraId="2DCC05F6" w14:textId="77777777" w:rsidR="00091A8C" w:rsidRPr="0079044A" w:rsidRDefault="00091A8C" w:rsidP="00CF409C">
            <w:pPr>
              <w:pStyle w:val="NoSpacing"/>
              <w:jc w:val="center"/>
              <w:rPr>
                <w:rFonts w:ascii="Times New Roman" w:hAnsi="Times New Roman" w:cs="Times New Roman"/>
                <w:sz w:val="20"/>
              </w:rPr>
            </w:pPr>
            <w:r w:rsidRPr="0079044A">
              <w:rPr>
                <w:rFonts w:ascii="Times New Roman" w:hAnsi="Times New Roman" w:cs="Times New Roman"/>
                <w:sz w:val="20"/>
              </w:rPr>
              <w:t>Fall 2020</w:t>
            </w:r>
          </w:p>
        </w:tc>
        <w:tc>
          <w:tcPr>
            <w:tcW w:w="1506" w:type="dxa"/>
            <w:tcBorders>
              <w:right w:val="single" w:sz="4" w:space="0" w:color="auto"/>
            </w:tcBorders>
            <w:shd w:val="clear" w:color="auto" w:fill="auto"/>
            <w:vAlign w:val="bottom"/>
          </w:tcPr>
          <w:p w14:paraId="070D70D5" w14:textId="77777777" w:rsidR="00091A8C" w:rsidRPr="0079044A" w:rsidRDefault="00091A8C" w:rsidP="00CF409C">
            <w:pPr>
              <w:pStyle w:val="NoSpacing"/>
              <w:jc w:val="center"/>
              <w:rPr>
                <w:rFonts w:ascii="Times New Roman" w:hAnsi="Times New Roman" w:cs="Times New Roman"/>
                <w:sz w:val="20"/>
              </w:rPr>
            </w:pPr>
            <w:r w:rsidRPr="0079044A">
              <w:rPr>
                <w:rFonts w:ascii="Times New Roman" w:hAnsi="Times New Roman" w:cs="Times New Roman"/>
                <w:bCs/>
                <w:color w:val="000000"/>
                <w:sz w:val="20"/>
              </w:rPr>
              <w:t>271</w:t>
            </w:r>
          </w:p>
        </w:tc>
        <w:tc>
          <w:tcPr>
            <w:tcW w:w="1468" w:type="dxa"/>
            <w:tcBorders>
              <w:left w:val="single" w:sz="4" w:space="0" w:color="auto"/>
            </w:tcBorders>
            <w:vAlign w:val="bottom"/>
          </w:tcPr>
          <w:p w14:paraId="29AE5347" w14:textId="77777777" w:rsidR="00091A8C" w:rsidRPr="0079044A" w:rsidRDefault="00091A8C" w:rsidP="00CF409C">
            <w:pPr>
              <w:pStyle w:val="NoSpacing"/>
              <w:jc w:val="center"/>
              <w:rPr>
                <w:rFonts w:ascii="Times New Roman" w:hAnsi="Times New Roman" w:cs="Times New Roman"/>
                <w:bCs/>
                <w:color w:val="000000"/>
                <w:sz w:val="20"/>
              </w:rPr>
            </w:pPr>
            <w:r w:rsidRPr="0079044A">
              <w:rPr>
                <w:rFonts w:ascii="Times New Roman" w:hAnsi="Times New Roman" w:cs="Times New Roman"/>
                <w:bCs/>
                <w:color w:val="000000"/>
                <w:sz w:val="20"/>
              </w:rPr>
              <w:t>131</w:t>
            </w:r>
          </w:p>
        </w:tc>
        <w:tc>
          <w:tcPr>
            <w:tcW w:w="1468" w:type="dxa"/>
            <w:tcBorders>
              <w:left w:val="single" w:sz="4" w:space="0" w:color="auto"/>
            </w:tcBorders>
          </w:tcPr>
          <w:p w14:paraId="1FBD919A" w14:textId="77777777" w:rsidR="00091A8C" w:rsidRPr="0079044A" w:rsidRDefault="00091A8C" w:rsidP="00CF409C">
            <w:pPr>
              <w:pStyle w:val="NoSpacing"/>
              <w:jc w:val="center"/>
              <w:rPr>
                <w:rFonts w:ascii="Times New Roman" w:hAnsi="Times New Roman" w:cs="Times New Roman"/>
                <w:bCs/>
                <w:color w:val="000000"/>
                <w:sz w:val="20"/>
              </w:rPr>
            </w:pPr>
            <w:r w:rsidRPr="0079044A">
              <w:rPr>
                <w:rFonts w:ascii="Times New Roman" w:hAnsi="Times New Roman" w:cs="Times New Roman"/>
                <w:bCs/>
                <w:color w:val="000000"/>
                <w:sz w:val="20"/>
              </w:rPr>
              <w:t>140</w:t>
            </w:r>
          </w:p>
        </w:tc>
      </w:tr>
      <w:tr w:rsidR="00091A8C" w:rsidRPr="0079044A" w14:paraId="5CAF14D5" w14:textId="77777777" w:rsidTr="00CF409C">
        <w:trPr>
          <w:jc w:val="center"/>
        </w:trPr>
        <w:tc>
          <w:tcPr>
            <w:tcW w:w="1103" w:type="dxa"/>
          </w:tcPr>
          <w:p w14:paraId="594759D7" w14:textId="77777777" w:rsidR="00091A8C" w:rsidRPr="0079044A" w:rsidRDefault="00091A8C" w:rsidP="00CF409C">
            <w:pPr>
              <w:pStyle w:val="NoSpacing"/>
              <w:jc w:val="center"/>
              <w:rPr>
                <w:rFonts w:ascii="Times New Roman" w:hAnsi="Times New Roman" w:cs="Times New Roman"/>
                <w:sz w:val="20"/>
              </w:rPr>
            </w:pPr>
            <w:r w:rsidRPr="0079044A">
              <w:rPr>
                <w:rFonts w:ascii="Times New Roman" w:hAnsi="Times New Roman" w:cs="Times New Roman"/>
                <w:sz w:val="20"/>
              </w:rPr>
              <w:t>Fall 2021</w:t>
            </w:r>
          </w:p>
        </w:tc>
        <w:tc>
          <w:tcPr>
            <w:tcW w:w="1506" w:type="dxa"/>
            <w:tcBorders>
              <w:right w:val="single" w:sz="4" w:space="0" w:color="auto"/>
            </w:tcBorders>
            <w:shd w:val="clear" w:color="auto" w:fill="auto"/>
            <w:vAlign w:val="bottom"/>
          </w:tcPr>
          <w:p w14:paraId="214E6F44" w14:textId="77777777" w:rsidR="00091A8C" w:rsidRPr="0079044A" w:rsidRDefault="00091A8C" w:rsidP="00CF409C">
            <w:pPr>
              <w:pStyle w:val="NoSpacing"/>
              <w:jc w:val="center"/>
              <w:rPr>
                <w:rFonts w:ascii="Times New Roman" w:hAnsi="Times New Roman" w:cs="Times New Roman"/>
                <w:sz w:val="20"/>
              </w:rPr>
            </w:pPr>
            <w:r w:rsidRPr="0079044A">
              <w:rPr>
                <w:rFonts w:ascii="Times New Roman" w:hAnsi="Times New Roman" w:cs="Times New Roman"/>
                <w:bCs/>
                <w:color w:val="000000"/>
                <w:sz w:val="20"/>
              </w:rPr>
              <w:t>178</w:t>
            </w:r>
          </w:p>
        </w:tc>
        <w:tc>
          <w:tcPr>
            <w:tcW w:w="1468" w:type="dxa"/>
            <w:tcBorders>
              <w:left w:val="single" w:sz="4" w:space="0" w:color="auto"/>
            </w:tcBorders>
            <w:vAlign w:val="bottom"/>
          </w:tcPr>
          <w:p w14:paraId="590F353B" w14:textId="77777777" w:rsidR="00091A8C" w:rsidRPr="0079044A" w:rsidRDefault="00091A8C" w:rsidP="00CF409C">
            <w:pPr>
              <w:pStyle w:val="NoSpacing"/>
              <w:jc w:val="center"/>
              <w:rPr>
                <w:rFonts w:ascii="Times New Roman" w:hAnsi="Times New Roman" w:cs="Times New Roman"/>
                <w:bCs/>
                <w:color w:val="000000"/>
                <w:sz w:val="20"/>
              </w:rPr>
            </w:pPr>
            <w:r w:rsidRPr="0079044A">
              <w:rPr>
                <w:rFonts w:ascii="Times New Roman" w:hAnsi="Times New Roman" w:cs="Times New Roman"/>
                <w:bCs/>
                <w:color w:val="000000"/>
                <w:sz w:val="20"/>
              </w:rPr>
              <w:t>89</w:t>
            </w:r>
          </w:p>
        </w:tc>
        <w:tc>
          <w:tcPr>
            <w:tcW w:w="1468" w:type="dxa"/>
            <w:tcBorders>
              <w:left w:val="single" w:sz="4" w:space="0" w:color="auto"/>
            </w:tcBorders>
          </w:tcPr>
          <w:p w14:paraId="3779F4BF" w14:textId="77777777" w:rsidR="00091A8C" w:rsidRPr="0079044A" w:rsidRDefault="00091A8C" w:rsidP="00CF409C">
            <w:pPr>
              <w:pStyle w:val="NoSpacing"/>
              <w:jc w:val="center"/>
              <w:rPr>
                <w:rFonts w:ascii="Times New Roman" w:hAnsi="Times New Roman" w:cs="Times New Roman"/>
                <w:bCs/>
                <w:color w:val="000000"/>
                <w:sz w:val="20"/>
              </w:rPr>
            </w:pPr>
            <w:r w:rsidRPr="0079044A">
              <w:rPr>
                <w:rFonts w:ascii="Times New Roman" w:hAnsi="Times New Roman" w:cs="Times New Roman"/>
                <w:bCs/>
                <w:color w:val="000000"/>
                <w:sz w:val="20"/>
              </w:rPr>
              <w:t>89</w:t>
            </w:r>
          </w:p>
        </w:tc>
      </w:tr>
      <w:tr w:rsidR="00091A8C" w:rsidRPr="0079044A" w14:paraId="2F9F562E" w14:textId="77777777" w:rsidTr="00CF409C">
        <w:trPr>
          <w:jc w:val="center"/>
        </w:trPr>
        <w:tc>
          <w:tcPr>
            <w:tcW w:w="1103" w:type="dxa"/>
          </w:tcPr>
          <w:p w14:paraId="43BF1A3A" w14:textId="77777777" w:rsidR="00091A8C" w:rsidRPr="0079044A" w:rsidRDefault="00091A8C" w:rsidP="00CF409C">
            <w:pPr>
              <w:pStyle w:val="NoSpacing"/>
              <w:jc w:val="center"/>
              <w:rPr>
                <w:rFonts w:ascii="Times New Roman" w:hAnsi="Times New Roman" w:cs="Times New Roman"/>
                <w:sz w:val="20"/>
              </w:rPr>
            </w:pPr>
            <w:r w:rsidRPr="0079044A">
              <w:rPr>
                <w:rFonts w:ascii="Times New Roman" w:hAnsi="Times New Roman" w:cs="Times New Roman"/>
                <w:sz w:val="20"/>
              </w:rPr>
              <w:t xml:space="preserve"> Fall 2022</w:t>
            </w:r>
          </w:p>
        </w:tc>
        <w:tc>
          <w:tcPr>
            <w:tcW w:w="1506" w:type="dxa"/>
            <w:tcBorders>
              <w:right w:val="single" w:sz="4" w:space="0" w:color="auto"/>
            </w:tcBorders>
            <w:shd w:val="clear" w:color="auto" w:fill="auto"/>
            <w:vAlign w:val="bottom"/>
          </w:tcPr>
          <w:p w14:paraId="155DFDA9" w14:textId="77777777" w:rsidR="00091A8C" w:rsidRPr="0079044A" w:rsidRDefault="00091A8C" w:rsidP="00CF409C">
            <w:pPr>
              <w:pStyle w:val="NoSpacing"/>
              <w:jc w:val="center"/>
              <w:rPr>
                <w:rFonts w:ascii="Times New Roman" w:hAnsi="Times New Roman" w:cs="Times New Roman"/>
                <w:sz w:val="20"/>
              </w:rPr>
            </w:pPr>
            <w:r w:rsidRPr="0079044A">
              <w:rPr>
                <w:rFonts w:ascii="Times New Roman" w:hAnsi="Times New Roman" w:cs="Times New Roman"/>
                <w:bCs/>
                <w:color w:val="000000"/>
                <w:sz w:val="20"/>
              </w:rPr>
              <w:t>213</w:t>
            </w:r>
          </w:p>
        </w:tc>
        <w:tc>
          <w:tcPr>
            <w:tcW w:w="1468" w:type="dxa"/>
            <w:tcBorders>
              <w:left w:val="single" w:sz="4" w:space="0" w:color="auto"/>
            </w:tcBorders>
            <w:vAlign w:val="bottom"/>
          </w:tcPr>
          <w:p w14:paraId="51D90706" w14:textId="77777777" w:rsidR="00091A8C" w:rsidRPr="0079044A" w:rsidRDefault="00091A8C" w:rsidP="00CF409C">
            <w:pPr>
              <w:pStyle w:val="NoSpacing"/>
              <w:jc w:val="center"/>
              <w:rPr>
                <w:rFonts w:ascii="Times New Roman" w:hAnsi="Times New Roman" w:cs="Times New Roman"/>
                <w:bCs/>
                <w:color w:val="000000"/>
                <w:sz w:val="20"/>
              </w:rPr>
            </w:pPr>
            <w:r w:rsidRPr="0079044A">
              <w:rPr>
                <w:rFonts w:ascii="Times New Roman" w:hAnsi="Times New Roman" w:cs="Times New Roman"/>
                <w:bCs/>
                <w:color w:val="000000"/>
                <w:sz w:val="20"/>
              </w:rPr>
              <w:t>118</w:t>
            </w:r>
          </w:p>
        </w:tc>
        <w:tc>
          <w:tcPr>
            <w:tcW w:w="1468" w:type="dxa"/>
            <w:tcBorders>
              <w:left w:val="single" w:sz="4" w:space="0" w:color="auto"/>
            </w:tcBorders>
          </w:tcPr>
          <w:p w14:paraId="0DEF47BA" w14:textId="77777777" w:rsidR="00091A8C" w:rsidRPr="0079044A" w:rsidRDefault="00091A8C" w:rsidP="00CF409C">
            <w:pPr>
              <w:pStyle w:val="NoSpacing"/>
              <w:jc w:val="center"/>
              <w:rPr>
                <w:rFonts w:ascii="Times New Roman" w:hAnsi="Times New Roman" w:cs="Times New Roman"/>
                <w:bCs/>
                <w:color w:val="000000"/>
                <w:sz w:val="20"/>
              </w:rPr>
            </w:pPr>
            <w:r w:rsidRPr="0079044A">
              <w:rPr>
                <w:rFonts w:ascii="Times New Roman" w:hAnsi="Times New Roman" w:cs="Times New Roman"/>
                <w:bCs/>
                <w:color w:val="000000"/>
                <w:sz w:val="20"/>
              </w:rPr>
              <w:t>95</w:t>
            </w:r>
          </w:p>
        </w:tc>
      </w:tr>
      <w:tr w:rsidR="00091A8C" w:rsidRPr="0079044A" w14:paraId="432D6516" w14:textId="77777777" w:rsidTr="00CF409C">
        <w:trPr>
          <w:jc w:val="center"/>
        </w:trPr>
        <w:tc>
          <w:tcPr>
            <w:tcW w:w="1103" w:type="dxa"/>
          </w:tcPr>
          <w:p w14:paraId="0EB9F19D" w14:textId="77777777" w:rsidR="00091A8C" w:rsidRPr="0079044A" w:rsidRDefault="00091A8C" w:rsidP="00CF409C">
            <w:pPr>
              <w:pStyle w:val="NoSpacing"/>
              <w:jc w:val="center"/>
              <w:rPr>
                <w:rFonts w:ascii="Times New Roman" w:hAnsi="Times New Roman" w:cs="Times New Roman"/>
                <w:sz w:val="20"/>
              </w:rPr>
            </w:pPr>
            <w:r w:rsidRPr="0079044A">
              <w:rPr>
                <w:rFonts w:ascii="Times New Roman" w:hAnsi="Times New Roman" w:cs="Times New Roman"/>
                <w:sz w:val="20"/>
              </w:rPr>
              <w:t>Total</w:t>
            </w:r>
          </w:p>
        </w:tc>
        <w:tc>
          <w:tcPr>
            <w:tcW w:w="1506" w:type="dxa"/>
            <w:tcBorders>
              <w:right w:val="single" w:sz="4" w:space="0" w:color="auto"/>
            </w:tcBorders>
            <w:shd w:val="clear" w:color="auto" w:fill="auto"/>
            <w:vAlign w:val="bottom"/>
          </w:tcPr>
          <w:p w14:paraId="0E76D1C8" w14:textId="77777777" w:rsidR="00091A8C" w:rsidRPr="0079044A" w:rsidRDefault="00091A8C" w:rsidP="00CF409C">
            <w:pPr>
              <w:pStyle w:val="NoSpacing"/>
              <w:jc w:val="center"/>
              <w:rPr>
                <w:rFonts w:ascii="Times New Roman" w:hAnsi="Times New Roman" w:cs="Times New Roman"/>
                <w:bCs/>
                <w:color w:val="000000"/>
                <w:sz w:val="20"/>
              </w:rPr>
            </w:pPr>
            <w:r w:rsidRPr="0079044A">
              <w:rPr>
                <w:rFonts w:ascii="Times New Roman" w:hAnsi="Times New Roman" w:cs="Times New Roman"/>
                <w:bCs/>
                <w:color w:val="000000"/>
                <w:sz w:val="20"/>
              </w:rPr>
              <w:t>662</w:t>
            </w:r>
          </w:p>
        </w:tc>
        <w:tc>
          <w:tcPr>
            <w:tcW w:w="1468" w:type="dxa"/>
            <w:tcBorders>
              <w:left w:val="single" w:sz="4" w:space="0" w:color="auto"/>
            </w:tcBorders>
            <w:vAlign w:val="bottom"/>
          </w:tcPr>
          <w:p w14:paraId="7F5A8C8A" w14:textId="77777777" w:rsidR="00091A8C" w:rsidRPr="0079044A" w:rsidRDefault="00091A8C" w:rsidP="00CF409C">
            <w:pPr>
              <w:pStyle w:val="NoSpacing"/>
              <w:jc w:val="center"/>
              <w:rPr>
                <w:rFonts w:ascii="Times New Roman" w:hAnsi="Times New Roman" w:cs="Times New Roman"/>
                <w:bCs/>
                <w:color w:val="000000"/>
                <w:sz w:val="20"/>
              </w:rPr>
            </w:pPr>
            <w:r w:rsidRPr="0079044A">
              <w:rPr>
                <w:rFonts w:ascii="Times New Roman" w:hAnsi="Times New Roman" w:cs="Times New Roman"/>
                <w:bCs/>
                <w:color w:val="000000"/>
                <w:sz w:val="20"/>
              </w:rPr>
              <w:t>338</w:t>
            </w:r>
          </w:p>
        </w:tc>
        <w:tc>
          <w:tcPr>
            <w:tcW w:w="1468" w:type="dxa"/>
            <w:tcBorders>
              <w:left w:val="single" w:sz="4" w:space="0" w:color="auto"/>
            </w:tcBorders>
          </w:tcPr>
          <w:p w14:paraId="4FCE94C0" w14:textId="77777777" w:rsidR="00091A8C" w:rsidRPr="0079044A" w:rsidRDefault="00091A8C" w:rsidP="00CF409C">
            <w:pPr>
              <w:pStyle w:val="NoSpacing"/>
              <w:jc w:val="center"/>
              <w:rPr>
                <w:rFonts w:ascii="Times New Roman" w:hAnsi="Times New Roman" w:cs="Times New Roman"/>
                <w:bCs/>
                <w:color w:val="000000"/>
                <w:sz w:val="20"/>
              </w:rPr>
            </w:pPr>
            <w:r w:rsidRPr="0079044A">
              <w:rPr>
                <w:rFonts w:ascii="Times New Roman" w:hAnsi="Times New Roman" w:cs="Times New Roman"/>
                <w:bCs/>
                <w:color w:val="000000"/>
                <w:sz w:val="20"/>
              </w:rPr>
              <w:t>324</w:t>
            </w:r>
          </w:p>
        </w:tc>
      </w:tr>
    </w:tbl>
    <w:p w14:paraId="1E96974C" w14:textId="6D68113C" w:rsidR="00091A8C" w:rsidRPr="0079044A" w:rsidRDefault="00091A8C" w:rsidP="00636993">
      <w:pPr>
        <w:pStyle w:val="NoSpacing"/>
        <w:rPr>
          <w:rFonts w:ascii="Times New Roman" w:hAnsi="Times New Roman" w:cs="Times New Roman"/>
        </w:rPr>
      </w:pPr>
    </w:p>
    <w:p w14:paraId="5B39F617" w14:textId="4F53D9F2" w:rsidR="00636993" w:rsidRPr="0079044A" w:rsidRDefault="00B33D62" w:rsidP="00636993">
      <w:pPr>
        <w:pStyle w:val="NoSpacing"/>
        <w:rPr>
          <w:rFonts w:ascii="Times New Roman" w:hAnsi="Times New Roman" w:cs="Times New Roman"/>
        </w:rPr>
      </w:pPr>
      <w:r w:rsidRPr="0079044A">
        <w:rPr>
          <w:rFonts w:ascii="Times New Roman" w:hAnsi="Times New Roman" w:cs="Times New Roman"/>
        </w:rPr>
        <w:t>Yet,</w:t>
      </w:r>
      <w:r w:rsidR="00091A8C" w:rsidRPr="0079044A">
        <w:rPr>
          <w:rFonts w:ascii="Times New Roman" w:hAnsi="Times New Roman" w:cs="Times New Roman"/>
        </w:rPr>
        <w:t xml:space="preserve"> </w:t>
      </w:r>
      <w:r w:rsidRPr="0079044A">
        <w:rPr>
          <w:rFonts w:ascii="Times New Roman" w:hAnsi="Times New Roman" w:cs="Times New Roman"/>
        </w:rPr>
        <w:t xml:space="preserve">YSU lacks a strategic approach to helping </w:t>
      </w:r>
      <w:r w:rsidR="00636993" w:rsidRPr="0079044A">
        <w:rPr>
          <w:rFonts w:ascii="Times New Roman" w:hAnsi="Times New Roman" w:cs="Times New Roman"/>
        </w:rPr>
        <w:t xml:space="preserve">these </w:t>
      </w:r>
      <w:r w:rsidRPr="0079044A">
        <w:rPr>
          <w:rFonts w:ascii="Times New Roman" w:hAnsi="Times New Roman" w:cs="Times New Roman"/>
        </w:rPr>
        <w:t xml:space="preserve">students get back on track and persist. </w:t>
      </w:r>
      <w:r w:rsidR="00636993" w:rsidRPr="0079044A">
        <w:rPr>
          <w:rFonts w:ascii="Times New Roman" w:hAnsi="Times New Roman" w:cs="Times New Roman"/>
        </w:rPr>
        <w:t xml:space="preserve"> </w:t>
      </w:r>
      <w:r w:rsidR="00142D8D" w:rsidRPr="0079044A">
        <w:rPr>
          <w:rFonts w:ascii="Times New Roman" w:hAnsi="Times New Roman" w:cs="Times New Roman"/>
        </w:rPr>
        <w:t xml:space="preserve">The need for </w:t>
      </w:r>
      <w:r w:rsidR="00091A8C" w:rsidRPr="0079044A">
        <w:rPr>
          <w:rFonts w:ascii="Times New Roman" w:hAnsi="Times New Roman" w:cs="Times New Roman"/>
        </w:rPr>
        <w:t xml:space="preserve">such a strategy </w:t>
      </w:r>
      <w:r w:rsidR="00142D8D" w:rsidRPr="0079044A">
        <w:rPr>
          <w:rFonts w:ascii="Times New Roman" w:hAnsi="Times New Roman" w:cs="Times New Roman"/>
        </w:rPr>
        <w:t xml:space="preserve">is underscored by the fact that </w:t>
      </w:r>
      <w:r w:rsidR="00636993" w:rsidRPr="0079044A">
        <w:rPr>
          <w:rFonts w:ascii="Times New Roman" w:hAnsi="Times New Roman" w:cs="Times New Roman"/>
        </w:rPr>
        <w:t xml:space="preserve">the majority of these students have the ability to succeed academically. In 2020 and 2021, for example, more than half of the freshmen placed on academic warning following their first semester earned a HS GPA of at least a 3.0.  </w:t>
      </w:r>
    </w:p>
    <w:p w14:paraId="4A4B8A5A" w14:textId="77777777" w:rsidR="00EA2DC2" w:rsidRPr="0079044A" w:rsidRDefault="00EA2DC2" w:rsidP="00EA2DC2">
      <w:pPr>
        <w:pStyle w:val="NoSpacing"/>
        <w:rPr>
          <w:rFonts w:ascii="Times New Roman" w:hAnsi="Times New Roman" w:cs="Times New Roman"/>
          <w:sz w:val="20"/>
        </w:rPr>
      </w:pPr>
    </w:p>
    <w:tbl>
      <w:tblPr>
        <w:tblStyle w:val="TableGrid"/>
        <w:tblW w:w="0" w:type="auto"/>
        <w:jc w:val="center"/>
        <w:tblLook w:val="04A0" w:firstRow="1" w:lastRow="0" w:firstColumn="1" w:lastColumn="0" w:noHBand="0" w:noVBand="1"/>
      </w:tblPr>
      <w:tblGrid>
        <w:gridCol w:w="2335"/>
        <w:gridCol w:w="1630"/>
        <w:gridCol w:w="1790"/>
        <w:gridCol w:w="1620"/>
      </w:tblGrid>
      <w:tr w:rsidR="00EA2DC2" w:rsidRPr="0079044A" w14:paraId="6BBF1BEA" w14:textId="77777777" w:rsidTr="00CF409C">
        <w:trPr>
          <w:trHeight w:val="323"/>
          <w:jc w:val="center"/>
        </w:trPr>
        <w:tc>
          <w:tcPr>
            <w:tcW w:w="7375" w:type="dxa"/>
            <w:gridSpan w:val="4"/>
          </w:tcPr>
          <w:p w14:paraId="4F077277" w14:textId="66AEFA9E" w:rsidR="00EA2DC2" w:rsidRPr="0079044A" w:rsidRDefault="00E531A7" w:rsidP="00CF409C">
            <w:pPr>
              <w:pStyle w:val="NoSpacing"/>
              <w:jc w:val="center"/>
              <w:rPr>
                <w:rFonts w:ascii="Times New Roman" w:hAnsi="Times New Roman" w:cs="Times New Roman"/>
                <w:b/>
                <w:sz w:val="20"/>
              </w:rPr>
            </w:pPr>
            <w:r>
              <w:rPr>
                <w:rFonts w:ascii="Times New Roman" w:hAnsi="Times New Roman" w:cs="Times New Roman"/>
                <w:b/>
                <w:sz w:val="20"/>
              </w:rPr>
              <w:t xml:space="preserve">Table 2. </w:t>
            </w:r>
            <w:r w:rsidR="00EA2DC2" w:rsidRPr="0079044A">
              <w:rPr>
                <w:rFonts w:ascii="Times New Roman" w:hAnsi="Times New Roman" w:cs="Times New Roman"/>
                <w:b/>
                <w:sz w:val="20"/>
              </w:rPr>
              <w:t>First semester cumulative GPA below 2.0 by HS GPA</w:t>
            </w:r>
          </w:p>
        </w:tc>
      </w:tr>
      <w:tr w:rsidR="00EA2DC2" w:rsidRPr="0079044A" w14:paraId="4F1F10DB" w14:textId="77777777" w:rsidTr="00CF409C">
        <w:trPr>
          <w:jc w:val="center"/>
        </w:trPr>
        <w:tc>
          <w:tcPr>
            <w:tcW w:w="2335" w:type="dxa"/>
          </w:tcPr>
          <w:p w14:paraId="1D9ED44D" w14:textId="77777777" w:rsidR="00EA2DC2" w:rsidRPr="0079044A" w:rsidRDefault="00EA2DC2" w:rsidP="00CF409C">
            <w:pPr>
              <w:pStyle w:val="NoSpacing"/>
              <w:rPr>
                <w:rFonts w:ascii="Times New Roman" w:hAnsi="Times New Roman" w:cs="Times New Roman"/>
                <w:sz w:val="20"/>
              </w:rPr>
            </w:pPr>
          </w:p>
        </w:tc>
        <w:tc>
          <w:tcPr>
            <w:tcW w:w="1630" w:type="dxa"/>
          </w:tcPr>
          <w:p w14:paraId="71433DD9" w14:textId="77777777" w:rsidR="00EA2DC2" w:rsidRPr="0079044A" w:rsidRDefault="00EA2DC2" w:rsidP="00CF409C">
            <w:pPr>
              <w:pStyle w:val="NoSpacing"/>
              <w:jc w:val="center"/>
              <w:rPr>
                <w:rFonts w:ascii="Times New Roman" w:hAnsi="Times New Roman" w:cs="Times New Roman"/>
                <w:b/>
                <w:sz w:val="20"/>
              </w:rPr>
            </w:pPr>
            <w:r w:rsidRPr="0079044A">
              <w:rPr>
                <w:rFonts w:ascii="Times New Roman" w:hAnsi="Times New Roman" w:cs="Times New Roman"/>
                <w:b/>
                <w:sz w:val="20"/>
              </w:rPr>
              <w:t>Fall 2020</w:t>
            </w:r>
          </w:p>
        </w:tc>
        <w:tc>
          <w:tcPr>
            <w:tcW w:w="1790" w:type="dxa"/>
          </w:tcPr>
          <w:p w14:paraId="3BA8B0A8" w14:textId="77777777" w:rsidR="00EA2DC2" w:rsidRPr="0079044A" w:rsidRDefault="00EA2DC2" w:rsidP="00CF409C">
            <w:pPr>
              <w:pStyle w:val="NoSpacing"/>
              <w:jc w:val="center"/>
              <w:rPr>
                <w:rFonts w:ascii="Times New Roman" w:hAnsi="Times New Roman" w:cs="Times New Roman"/>
                <w:b/>
                <w:sz w:val="20"/>
              </w:rPr>
            </w:pPr>
            <w:r w:rsidRPr="0079044A">
              <w:rPr>
                <w:rFonts w:ascii="Times New Roman" w:hAnsi="Times New Roman" w:cs="Times New Roman"/>
                <w:b/>
                <w:sz w:val="20"/>
              </w:rPr>
              <w:t>Fall 2021</w:t>
            </w:r>
          </w:p>
        </w:tc>
        <w:tc>
          <w:tcPr>
            <w:tcW w:w="1620" w:type="dxa"/>
          </w:tcPr>
          <w:p w14:paraId="518DFC90" w14:textId="77777777" w:rsidR="00EA2DC2" w:rsidRPr="0079044A" w:rsidRDefault="00EA2DC2" w:rsidP="00CF409C">
            <w:pPr>
              <w:pStyle w:val="NoSpacing"/>
              <w:jc w:val="center"/>
              <w:rPr>
                <w:rFonts w:ascii="Times New Roman" w:hAnsi="Times New Roman" w:cs="Times New Roman"/>
                <w:b/>
                <w:sz w:val="20"/>
              </w:rPr>
            </w:pPr>
            <w:r w:rsidRPr="0079044A">
              <w:rPr>
                <w:rFonts w:ascii="Times New Roman" w:hAnsi="Times New Roman" w:cs="Times New Roman"/>
                <w:b/>
                <w:sz w:val="20"/>
              </w:rPr>
              <w:t>Fall 2022</w:t>
            </w:r>
          </w:p>
        </w:tc>
      </w:tr>
      <w:tr w:rsidR="00EA2DC2" w:rsidRPr="0079044A" w14:paraId="7B495FE9" w14:textId="77777777" w:rsidTr="00CF409C">
        <w:trPr>
          <w:jc w:val="center"/>
        </w:trPr>
        <w:tc>
          <w:tcPr>
            <w:tcW w:w="2335" w:type="dxa"/>
            <w:vAlign w:val="bottom"/>
          </w:tcPr>
          <w:p w14:paraId="75D674A7" w14:textId="77777777" w:rsidR="00EA2DC2" w:rsidRPr="0079044A" w:rsidRDefault="00EA2DC2" w:rsidP="00CF409C">
            <w:pPr>
              <w:pStyle w:val="NoSpacing"/>
              <w:rPr>
                <w:rFonts w:ascii="Times New Roman" w:hAnsi="Times New Roman" w:cs="Times New Roman"/>
                <w:b/>
                <w:sz w:val="20"/>
              </w:rPr>
            </w:pPr>
            <w:r w:rsidRPr="0079044A">
              <w:rPr>
                <w:rFonts w:ascii="Times New Roman" w:hAnsi="Times New Roman" w:cs="Times New Roman"/>
                <w:b/>
                <w:color w:val="000000"/>
                <w:sz w:val="20"/>
              </w:rPr>
              <w:t>HS GPA &lt; 2.0</w:t>
            </w:r>
          </w:p>
        </w:tc>
        <w:tc>
          <w:tcPr>
            <w:tcW w:w="1630" w:type="dxa"/>
            <w:vAlign w:val="bottom"/>
          </w:tcPr>
          <w:p w14:paraId="3F46155E"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1 (0.4%)</w:t>
            </w:r>
          </w:p>
        </w:tc>
        <w:tc>
          <w:tcPr>
            <w:tcW w:w="1790" w:type="dxa"/>
            <w:vAlign w:val="bottom"/>
          </w:tcPr>
          <w:p w14:paraId="7EAE83CC"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0 (0%)</w:t>
            </w:r>
          </w:p>
        </w:tc>
        <w:tc>
          <w:tcPr>
            <w:tcW w:w="1620" w:type="dxa"/>
            <w:vAlign w:val="bottom"/>
          </w:tcPr>
          <w:p w14:paraId="08032259"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0 (0%)</w:t>
            </w:r>
          </w:p>
        </w:tc>
      </w:tr>
      <w:tr w:rsidR="00EA2DC2" w:rsidRPr="0079044A" w14:paraId="1D2428A8" w14:textId="77777777" w:rsidTr="00CF409C">
        <w:trPr>
          <w:jc w:val="center"/>
        </w:trPr>
        <w:tc>
          <w:tcPr>
            <w:tcW w:w="2335" w:type="dxa"/>
            <w:vAlign w:val="bottom"/>
          </w:tcPr>
          <w:p w14:paraId="48F15499" w14:textId="77777777" w:rsidR="00EA2DC2" w:rsidRPr="0079044A" w:rsidRDefault="00EA2DC2" w:rsidP="00CF409C">
            <w:pPr>
              <w:pStyle w:val="NoSpacing"/>
              <w:rPr>
                <w:rFonts w:ascii="Times New Roman" w:hAnsi="Times New Roman" w:cs="Times New Roman"/>
                <w:b/>
                <w:sz w:val="20"/>
              </w:rPr>
            </w:pPr>
            <w:r w:rsidRPr="0079044A">
              <w:rPr>
                <w:rFonts w:ascii="Times New Roman" w:hAnsi="Times New Roman" w:cs="Times New Roman"/>
                <w:b/>
                <w:color w:val="000000"/>
                <w:sz w:val="20"/>
              </w:rPr>
              <w:t>HS GPA 2.0 - 2.49</w:t>
            </w:r>
          </w:p>
        </w:tc>
        <w:tc>
          <w:tcPr>
            <w:tcW w:w="1630" w:type="dxa"/>
            <w:vAlign w:val="bottom"/>
          </w:tcPr>
          <w:p w14:paraId="6D473B3C"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30 (11.1%)</w:t>
            </w:r>
          </w:p>
        </w:tc>
        <w:tc>
          <w:tcPr>
            <w:tcW w:w="1790" w:type="dxa"/>
            <w:vAlign w:val="bottom"/>
          </w:tcPr>
          <w:p w14:paraId="60B85BD7"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22(12.4%)</w:t>
            </w:r>
          </w:p>
        </w:tc>
        <w:tc>
          <w:tcPr>
            <w:tcW w:w="1620" w:type="dxa"/>
            <w:vAlign w:val="bottom"/>
          </w:tcPr>
          <w:p w14:paraId="1BA82871"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37 (17.4%)</w:t>
            </w:r>
          </w:p>
        </w:tc>
      </w:tr>
      <w:tr w:rsidR="00EA2DC2" w:rsidRPr="0079044A" w14:paraId="03D7EF54" w14:textId="77777777" w:rsidTr="00CF409C">
        <w:trPr>
          <w:jc w:val="center"/>
        </w:trPr>
        <w:tc>
          <w:tcPr>
            <w:tcW w:w="2335" w:type="dxa"/>
            <w:tcBorders>
              <w:bottom w:val="single" w:sz="4" w:space="0" w:color="auto"/>
            </w:tcBorders>
            <w:vAlign w:val="bottom"/>
          </w:tcPr>
          <w:p w14:paraId="0F3871F4" w14:textId="77777777" w:rsidR="00EA2DC2" w:rsidRPr="0079044A" w:rsidRDefault="00EA2DC2" w:rsidP="00CF409C">
            <w:pPr>
              <w:pStyle w:val="NoSpacing"/>
              <w:rPr>
                <w:rFonts w:ascii="Times New Roman" w:hAnsi="Times New Roman" w:cs="Times New Roman"/>
                <w:b/>
                <w:sz w:val="20"/>
              </w:rPr>
            </w:pPr>
            <w:r w:rsidRPr="0079044A">
              <w:rPr>
                <w:rFonts w:ascii="Times New Roman" w:hAnsi="Times New Roman" w:cs="Times New Roman"/>
                <w:b/>
                <w:color w:val="000000"/>
                <w:sz w:val="20"/>
              </w:rPr>
              <w:t>HS GPA 2.5 - 2.99</w:t>
            </w:r>
          </w:p>
        </w:tc>
        <w:tc>
          <w:tcPr>
            <w:tcW w:w="1630" w:type="dxa"/>
            <w:tcBorders>
              <w:bottom w:val="single" w:sz="4" w:space="0" w:color="auto"/>
            </w:tcBorders>
            <w:vAlign w:val="bottom"/>
          </w:tcPr>
          <w:p w14:paraId="0378449B"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76 (28%)</w:t>
            </w:r>
          </w:p>
        </w:tc>
        <w:tc>
          <w:tcPr>
            <w:tcW w:w="1790" w:type="dxa"/>
            <w:tcBorders>
              <w:bottom w:val="single" w:sz="4" w:space="0" w:color="auto"/>
            </w:tcBorders>
            <w:vAlign w:val="bottom"/>
          </w:tcPr>
          <w:p w14:paraId="37ECB32B"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57 (32%)</w:t>
            </w:r>
          </w:p>
        </w:tc>
        <w:tc>
          <w:tcPr>
            <w:tcW w:w="1620" w:type="dxa"/>
            <w:tcBorders>
              <w:bottom w:val="single" w:sz="4" w:space="0" w:color="auto"/>
            </w:tcBorders>
            <w:vAlign w:val="bottom"/>
          </w:tcPr>
          <w:p w14:paraId="0EA24FB1"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77 (36.2%)</w:t>
            </w:r>
          </w:p>
        </w:tc>
      </w:tr>
      <w:tr w:rsidR="00EA2DC2" w:rsidRPr="0079044A" w14:paraId="1200EFCC" w14:textId="77777777" w:rsidTr="00CF409C">
        <w:trPr>
          <w:jc w:val="center"/>
        </w:trPr>
        <w:tc>
          <w:tcPr>
            <w:tcW w:w="2335" w:type="dxa"/>
            <w:tcBorders>
              <w:top w:val="single" w:sz="4" w:space="0" w:color="auto"/>
              <w:left w:val="single" w:sz="4" w:space="0" w:color="auto"/>
              <w:bottom w:val="single" w:sz="4" w:space="0" w:color="auto"/>
            </w:tcBorders>
            <w:vAlign w:val="bottom"/>
          </w:tcPr>
          <w:p w14:paraId="0E051B92" w14:textId="77777777" w:rsidR="00EA2DC2" w:rsidRPr="0079044A" w:rsidRDefault="00EA2DC2" w:rsidP="00CF409C">
            <w:pPr>
              <w:pStyle w:val="NoSpacing"/>
              <w:rPr>
                <w:rFonts w:ascii="Times New Roman" w:hAnsi="Times New Roman" w:cs="Times New Roman"/>
                <w:b/>
                <w:sz w:val="20"/>
              </w:rPr>
            </w:pPr>
            <w:r w:rsidRPr="0079044A">
              <w:rPr>
                <w:rFonts w:ascii="Times New Roman" w:hAnsi="Times New Roman" w:cs="Times New Roman"/>
                <w:b/>
                <w:color w:val="000000"/>
                <w:sz w:val="20"/>
              </w:rPr>
              <w:t>HS GPA 3.0 - 3.49</w:t>
            </w:r>
          </w:p>
        </w:tc>
        <w:tc>
          <w:tcPr>
            <w:tcW w:w="1630" w:type="dxa"/>
            <w:tcBorders>
              <w:top w:val="single" w:sz="4" w:space="0" w:color="auto"/>
            </w:tcBorders>
            <w:vAlign w:val="bottom"/>
          </w:tcPr>
          <w:p w14:paraId="74FF7066"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109 (40.2%)</w:t>
            </w:r>
          </w:p>
        </w:tc>
        <w:tc>
          <w:tcPr>
            <w:tcW w:w="1790" w:type="dxa"/>
            <w:tcBorders>
              <w:top w:val="single" w:sz="4" w:space="0" w:color="auto"/>
              <w:right w:val="single" w:sz="4" w:space="0" w:color="auto"/>
            </w:tcBorders>
            <w:vAlign w:val="bottom"/>
          </w:tcPr>
          <w:p w14:paraId="0687FA62"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64 (36%)</w:t>
            </w:r>
          </w:p>
        </w:tc>
        <w:tc>
          <w:tcPr>
            <w:tcW w:w="1620" w:type="dxa"/>
            <w:tcBorders>
              <w:top w:val="single" w:sz="4" w:space="0" w:color="auto"/>
              <w:left w:val="single" w:sz="4" w:space="0" w:color="auto"/>
              <w:bottom w:val="single" w:sz="4" w:space="0" w:color="auto"/>
              <w:right w:val="single" w:sz="4" w:space="0" w:color="auto"/>
            </w:tcBorders>
            <w:vAlign w:val="bottom"/>
          </w:tcPr>
          <w:p w14:paraId="299D48DC"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69 (32.4%)</w:t>
            </w:r>
          </w:p>
        </w:tc>
      </w:tr>
      <w:tr w:rsidR="00EA2DC2" w:rsidRPr="0079044A" w14:paraId="68179FF9" w14:textId="77777777" w:rsidTr="00CF409C">
        <w:trPr>
          <w:jc w:val="center"/>
        </w:trPr>
        <w:tc>
          <w:tcPr>
            <w:tcW w:w="2335" w:type="dxa"/>
            <w:tcBorders>
              <w:top w:val="single" w:sz="4" w:space="0" w:color="auto"/>
              <w:left w:val="single" w:sz="4" w:space="0" w:color="auto"/>
              <w:bottom w:val="single" w:sz="4" w:space="0" w:color="auto"/>
            </w:tcBorders>
            <w:vAlign w:val="bottom"/>
          </w:tcPr>
          <w:p w14:paraId="48FC30B6" w14:textId="77777777" w:rsidR="00EA2DC2" w:rsidRPr="0079044A" w:rsidRDefault="00EA2DC2" w:rsidP="00CF409C">
            <w:pPr>
              <w:pStyle w:val="NoSpacing"/>
              <w:rPr>
                <w:rFonts w:ascii="Times New Roman" w:hAnsi="Times New Roman" w:cs="Times New Roman"/>
                <w:b/>
                <w:sz w:val="20"/>
              </w:rPr>
            </w:pPr>
            <w:r w:rsidRPr="0079044A">
              <w:rPr>
                <w:rFonts w:ascii="Times New Roman" w:hAnsi="Times New Roman" w:cs="Times New Roman"/>
                <w:b/>
                <w:color w:val="000000"/>
                <w:sz w:val="20"/>
              </w:rPr>
              <w:t>HS GPA 3.5 +</w:t>
            </w:r>
          </w:p>
        </w:tc>
        <w:tc>
          <w:tcPr>
            <w:tcW w:w="1630" w:type="dxa"/>
            <w:tcBorders>
              <w:bottom w:val="single" w:sz="4" w:space="0" w:color="auto"/>
            </w:tcBorders>
            <w:vAlign w:val="bottom"/>
          </w:tcPr>
          <w:p w14:paraId="0DE59A86"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55 (20.3%)</w:t>
            </w:r>
          </w:p>
        </w:tc>
        <w:tc>
          <w:tcPr>
            <w:tcW w:w="1790" w:type="dxa"/>
            <w:tcBorders>
              <w:bottom w:val="single" w:sz="4" w:space="0" w:color="auto"/>
              <w:right w:val="single" w:sz="4" w:space="0" w:color="auto"/>
            </w:tcBorders>
            <w:vAlign w:val="bottom"/>
          </w:tcPr>
          <w:p w14:paraId="3C65C971"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35 (19.7%)</w:t>
            </w:r>
          </w:p>
        </w:tc>
        <w:tc>
          <w:tcPr>
            <w:tcW w:w="1620" w:type="dxa"/>
            <w:tcBorders>
              <w:top w:val="single" w:sz="4" w:space="0" w:color="auto"/>
              <w:left w:val="single" w:sz="4" w:space="0" w:color="auto"/>
              <w:bottom w:val="single" w:sz="4" w:space="0" w:color="auto"/>
              <w:right w:val="single" w:sz="4" w:space="0" w:color="auto"/>
            </w:tcBorders>
            <w:vAlign w:val="bottom"/>
          </w:tcPr>
          <w:p w14:paraId="27EDC7D3" w14:textId="77777777" w:rsidR="00EA2DC2" w:rsidRPr="0079044A" w:rsidRDefault="00EA2DC2" w:rsidP="00CF409C">
            <w:pPr>
              <w:pStyle w:val="NoSpacing"/>
              <w:jc w:val="center"/>
              <w:rPr>
                <w:rFonts w:ascii="Times New Roman" w:hAnsi="Times New Roman" w:cs="Times New Roman"/>
                <w:sz w:val="20"/>
              </w:rPr>
            </w:pPr>
            <w:r w:rsidRPr="0079044A">
              <w:rPr>
                <w:rFonts w:ascii="Times New Roman" w:hAnsi="Times New Roman" w:cs="Times New Roman"/>
                <w:color w:val="000000"/>
                <w:sz w:val="20"/>
              </w:rPr>
              <w:t>30 (14.1%)</w:t>
            </w:r>
          </w:p>
        </w:tc>
      </w:tr>
    </w:tbl>
    <w:p w14:paraId="6D6107BE" w14:textId="77777777" w:rsidR="00EA2DC2" w:rsidRPr="0079044A" w:rsidRDefault="00EA2DC2" w:rsidP="00EA2DC2">
      <w:pPr>
        <w:pStyle w:val="NoSpacing"/>
        <w:rPr>
          <w:rFonts w:ascii="Times New Roman" w:hAnsi="Times New Roman" w:cs="Times New Roman"/>
        </w:rPr>
      </w:pPr>
    </w:p>
    <w:p w14:paraId="7B2EEB2E" w14:textId="7A74574C" w:rsidR="0014434B" w:rsidRPr="0079044A" w:rsidRDefault="0014434B" w:rsidP="0014434B">
      <w:pPr>
        <w:pStyle w:val="NoSpacing"/>
        <w:rPr>
          <w:rFonts w:ascii="Times New Roman" w:hAnsi="Times New Roman" w:cs="Times New Roman"/>
        </w:rPr>
      </w:pPr>
      <w:r w:rsidRPr="0079044A">
        <w:rPr>
          <w:rFonts w:ascii="Times New Roman" w:hAnsi="Times New Roman" w:cs="Times New Roman"/>
        </w:rPr>
        <w:t>For the students</w:t>
      </w:r>
      <w:r w:rsidR="00091A8C" w:rsidRPr="0079044A">
        <w:rPr>
          <w:rFonts w:ascii="Times New Roman" w:hAnsi="Times New Roman" w:cs="Times New Roman"/>
        </w:rPr>
        <w:t xml:space="preserve"> who return,</w:t>
      </w:r>
      <w:r w:rsidRPr="0079044A">
        <w:rPr>
          <w:rFonts w:ascii="Times New Roman" w:hAnsi="Times New Roman" w:cs="Times New Roman"/>
        </w:rPr>
        <w:t xml:space="preserve"> improved academic performance in the second semester is key to their ability to persist.  Students who showed academic improvement while on academic warning, as measured by a spring term GPA of a 2.0 or higher, were far more likely to persist to the second year than those students who did not. </w:t>
      </w:r>
      <w:r w:rsidR="00142D8D" w:rsidRPr="0079044A">
        <w:rPr>
          <w:rFonts w:ascii="Times New Roman" w:hAnsi="Times New Roman" w:cs="Times New Roman"/>
        </w:rPr>
        <w:t xml:space="preserve"> </w:t>
      </w:r>
      <w:r w:rsidR="00EA2DC2" w:rsidRPr="0079044A">
        <w:rPr>
          <w:rFonts w:ascii="Times New Roman" w:hAnsi="Times New Roman" w:cs="Times New Roman"/>
        </w:rPr>
        <w:t>I</w:t>
      </w:r>
      <w:r w:rsidRPr="0079044A">
        <w:rPr>
          <w:rFonts w:ascii="Times New Roman" w:hAnsi="Times New Roman" w:cs="Times New Roman"/>
        </w:rPr>
        <w:t xml:space="preserve">mprovements in second semester academic performance can help improve the longer-term outlook for these students as well.  That data in </w:t>
      </w:r>
      <w:r w:rsidR="00E531A7">
        <w:rPr>
          <w:rFonts w:ascii="Times New Roman" w:hAnsi="Times New Roman" w:cs="Times New Roman"/>
        </w:rPr>
        <w:t xml:space="preserve">the </w:t>
      </w:r>
      <w:r w:rsidRPr="0079044A">
        <w:rPr>
          <w:rFonts w:ascii="Times New Roman" w:hAnsi="Times New Roman" w:cs="Times New Roman"/>
        </w:rPr>
        <w:t xml:space="preserve">table below compare retention to the third year for those who rebound academically in their second semester with those who don’t. </w:t>
      </w:r>
    </w:p>
    <w:p w14:paraId="52013A2C" w14:textId="211615F9" w:rsidR="0014434B" w:rsidRDefault="0014434B" w:rsidP="0014434B">
      <w:pPr>
        <w:pStyle w:val="NoSpacing"/>
        <w:rPr>
          <w:rFonts w:ascii="Times New Roman" w:hAnsi="Times New Roman" w:cs="Times New Roman"/>
        </w:rPr>
      </w:pPr>
    </w:p>
    <w:p w14:paraId="6755ACA6" w14:textId="5CCD492D" w:rsidR="00206A7A" w:rsidRDefault="00206A7A" w:rsidP="0014434B">
      <w:pPr>
        <w:pStyle w:val="NoSpacing"/>
        <w:rPr>
          <w:rFonts w:ascii="Times New Roman" w:hAnsi="Times New Roman" w:cs="Times New Roman"/>
        </w:rPr>
      </w:pPr>
    </w:p>
    <w:p w14:paraId="4A7D1A44" w14:textId="3C657127" w:rsidR="00206A7A" w:rsidRDefault="00206A7A" w:rsidP="0014434B">
      <w:pPr>
        <w:pStyle w:val="NoSpacing"/>
        <w:rPr>
          <w:rFonts w:ascii="Times New Roman" w:hAnsi="Times New Roman" w:cs="Times New Roman"/>
        </w:rPr>
      </w:pPr>
    </w:p>
    <w:p w14:paraId="1AB2C5D4" w14:textId="77777777" w:rsidR="00206A7A" w:rsidRPr="0079044A" w:rsidRDefault="00206A7A" w:rsidP="0014434B">
      <w:pPr>
        <w:pStyle w:val="No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103"/>
        <w:gridCol w:w="1504"/>
        <w:gridCol w:w="1466"/>
        <w:gridCol w:w="1785"/>
        <w:gridCol w:w="1697"/>
      </w:tblGrid>
      <w:tr w:rsidR="00B33D62" w:rsidRPr="0079044A" w14:paraId="186EE921" w14:textId="77777777" w:rsidTr="00D016EC">
        <w:trPr>
          <w:jc w:val="center"/>
        </w:trPr>
        <w:tc>
          <w:tcPr>
            <w:tcW w:w="7555" w:type="dxa"/>
            <w:gridSpan w:val="5"/>
            <w:tcBorders>
              <w:right w:val="single" w:sz="4" w:space="0" w:color="auto"/>
            </w:tcBorders>
          </w:tcPr>
          <w:p w14:paraId="7B23688D" w14:textId="7943A82A" w:rsidR="00B33D62" w:rsidRPr="0079044A" w:rsidRDefault="00E531A7" w:rsidP="00CF409C">
            <w:pPr>
              <w:pStyle w:val="NoSpacing"/>
              <w:jc w:val="center"/>
              <w:rPr>
                <w:rFonts w:ascii="Times New Roman" w:hAnsi="Times New Roman" w:cs="Times New Roman"/>
                <w:b/>
                <w:sz w:val="20"/>
              </w:rPr>
            </w:pPr>
            <w:r>
              <w:rPr>
                <w:rFonts w:ascii="Times New Roman" w:hAnsi="Times New Roman" w:cs="Times New Roman"/>
                <w:b/>
                <w:sz w:val="20"/>
              </w:rPr>
              <w:lastRenderedPageBreak/>
              <w:t xml:space="preserve">Table 3. </w:t>
            </w:r>
            <w:r w:rsidR="00206A7A">
              <w:rPr>
                <w:rFonts w:ascii="Times New Roman" w:hAnsi="Times New Roman" w:cs="Times New Roman"/>
                <w:b/>
                <w:sz w:val="20"/>
              </w:rPr>
              <w:t>Persistence by Spring Term GPA</w:t>
            </w:r>
          </w:p>
        </w:tc>
      </w:tr>
      <w:tr w:rsidR="00B33D62" w:rsidRPr="0079044A" w14:paraId="505C7DED" w14:textId="77777777" w:rsidTr="00CF409C">
        <w:trPr>
          <w:jc w:val="center"/>
        </w:trPr>
        <w:tc>
          <w:tcPr>
            <w:tcW w:w="1103" w:type="dxa"/>
          </w:tcPr>
          <w:p w14:paraId="20A60EB4" w14:textId="77777777" w:rsidR="00B33D62" w:rsidRPr="0079044A" w:rsidRDefault="00B33D62" w:rsidP="00CF409C">
            <w:pPr>
              <w:pStyle w:val="NoSpacing"/>
              <w:jc w:val="center"/>
              <w:rPr>
                <w:rFonts w:ascii="Times New Roman" w:hAnsi="Times New Roman" w:cs="Times New Roman"/>
                <w:color w:val="000000"/>
                <w:sz w:val="20"/>
              </w:rPr>
            </w:pPr>
          </w:p>
        </w:tc>
        <w:tc>
          <w:tcPr>
            <w:tcW w:w="1504" w:type="dxa"/>
            <w:tcBorders>
              <w:right w:val="single" w:sz="4" w:space="0" w:color="auto"/>
            </w:tcBorders>
            <w:vAlign w:val="bottom"/>
          </w:tcPr>
          <w:p w14:paraId="1D8ED8F9" w14:textId="77777777" w:rsidR="00B33D62" w:rsidRPr="0079044A" w:rsidRDefault="00B33D62" w:rsidP="00CF409C">
            <w:pPr>
              <w:pStyle w:val="NoSpacing"/>
              <w:jc w:val="center"/>
              <w:rPr>
                <w:rFonts w:ascii="Times New Roman" w:hAnsi="Times New Roman" w:cs="Times New Roman"/>
                <w:b/>
                <w:sz w:val="20"/>
              </w:rPr>
            </w:pPr>
            <w:r w:rsidRPr="0079044A">
              <w:rPr>
                <w:rFonts w:ascii="Times New Roman" w:hAnsi="Times New Roman" w:cs="Times New Roman"/>
                <w:b/>
                <w:bCs/>
                <w:color w:val="000000"/>
                <w:sz w:val="20"/>
              </w:rPr>
              <w:t>Returned Spring</w:t>
            </w:r>
          </w:p>
        </w:tc>
        <w:tc>
          <w:tcPr>
            <w:tcW w:w="1466" w:type="dxa"/>
            <w:tcBorders>
              <w:top w:val="single" w:sz="4" w:space="0" w:color="auto"/>
              <w:left w:val="single" w:sz="4" w:space="0" w:color="auto"/>
            </w:tcBorders>
            <w:vAlign w:val="bottom"/>
          </w:tcPr>
          <w:p w14:paraId="0C268A2C"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b/>
                <w:sz w:val="20"/>
              </w:rPr>
              <w:t>Spring Term GPA 2.0 +</w:t>
            </w:r>
          </w:p>
        </w:tc>
        <w:tc>
          <w:tcPr>
            <w:tcW w:w="1785" w:type="dxa"/>
            <w:tcBorders>
              <w:top w:val="single" w:sz="4" w:space="0" w:color="auto"/>
            </w:tcBorders>
          </w:tcPr>
          <w:p w14:paraId="3D8F78ED" w14:textId="77777777" w:rsidR="00B33D62" w:rsidRPr="0079044A" w:rsidRDefault="00B33D62" w:rsidP="00CF409C">
            <w:pPr>
              <w:pStyle w:val="NoSpacing"/>
              <w:jc w:val="center"/>
              <w:rPr>
                <w:rFonts w:ascii="Times New Roman" w:hAnsi="Times New Roman" w:cs="Times New Roman"/>
                <w:b/>
                <w:sz w:val="20"/>
              </w:rPr>
            </w:pPr>
            <w:r w:rsidRPr="0079044A">
              <w:rPr>
                <w:rFonts w:ascii="Times New Roman" w:hAnsi="Times New Roman" w:cs="Times New Roman"/>
                <w:b/>
                <w:sz w:val="20"/>
              </w:rPr>
              <w:t>Returned YR 2</w:t>
            </w:r>
          </w:p>
        </w:tc>
        <w:tc>
          <w:tcPr>
            <w:tcW w:w="1697" w:type="dxa"/>
            <w:tcBorders>
              <w:top w:val="single" w:sz="4" w:space="0" w:color="auto"/>
              <w:right w:val="single" w:sz="4" w:space="0" w:color="auto"/>
            </w:tcBorders>
          </w:tcPr>
          <w:p w14:paraId="7060E5CB" w14:textId="77777777" w:rsidR="00B33D62" w:rsidRPr="0079044A" w:rsidRDefault="00B33D62" w:rsidP="00CF409C">
            <w:pPr>
              <w:pStyle w:val="NoSpacing"/>
              <w:jc w:val="center"/>
              <w:rPr>
                <w:rFonts w:ascii="Times New Roman" w:hAnsi="Times New Roman" w:cs="Times New Roman"/>
                <w:b/>
                <w:sz w:val="20"/>
              </w:rPr>
            </w:pPr>
            <w:r w:rsidRPr="0079044A">
              <w:rPr>
                <w:rFonts w:ascii="Times New Roman" w:hAnsi="Times New Roman" w:cs="Times New Roman"/>
                <w:b/>
                <w:sz w:val="20"/>
              </w:rPr>
              <w:t>Returned YR 3</w:t>
            </w:r>
          </w:p>
        </w:tc>
      </w:tr>
      <w:tr w:rsidR="00B33D62" w:rsidRPr="0079044A" w14:paraId="02332455" w14:textId="77777777" w:rsidTr="00CF409C">
        <w:trPr>
          <w:jc w:val="center"/>
        </w:trPr>
        <w:tc>
          <w:tcPr>
            <w:tcW w:w="1103" w:type="dxa"/>
          </w:tcPr>
          <w:p w14:paraId="0757DD92"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Fall 2020</w:t>
            </w:r>
          </w:p>
        </w:tc>
        <w:tc>
          <w:tcPr>
            <w:tcW w:w="1504" w:type="dxa"/>
            <w:tcBorders>
              <w:right w:val="single" w:sz="4" w:space="0" w:color="auto"/>
            </w:tcBorders>
            <w:shd w:val="clear" w:color="auto" w:fill="auto"/>
            <w:vAlign w:val="bottom"/>
          </w:tcPr>
          <w:p w14:paraId="50DBCFCD"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bCs/>
                <w:color w:val="000000"/>
                <w:sz w:val="20"/>
              </w:rPr>
              <w:t>131</w:t>
            </w:r>
          </w:p>
        </w:tc>
        <w:tc>
          <w:tcPr>
            <w:tcW w:w="1466" w:type="dxa"/>
            <w:tcBorders>
              <w:left w:val="single" w:sz="4" w:space="0" w:color="auto"/>
            </w:tcBorders>
            <w:vAlign w:val="bottom"/>
          </w:tcPr>
          <w:p w14:paraId="1BBFDA4B"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54</w:t>
            </w:r>
          </w:p>
        </w:tc>
        <w:tc>
          <w:tcPr>
            <w:tcW w:w="1785" w:type="dxa"/>
            <w:vAlign w:val="bottom"/>
          </w:tcPr>
          <w:p w14:paraId="2A263B86"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41 (80%)</w:t>
            </w:r>
          </w:p>
        </w:tc>
        <w:tc>
          <w:tcPr>
            <w:tcW w:w="1697" w:type="dxa"/>
            <w:tcBorders>
              <w:right w:val="single" w:sz="4" w:space="0" w:color="auto"/>
            </w:tcBorders>
          </w:tcPr>
          <w:p w14:paraId="2F7A4EF0"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29 (53.7%)</w:t>
            </w:r>
          </w:p>
        </w:tc>
      </w:tr>
      <w:tr w:rsidR="00B33D62" w:rsidRPr="0079044A" w14:paraId="585B7F07" w14:textId="77777777" w:rsidTr="00CF409C">
        <w:trPr>
          <w:jc w:val="center"/>
        </w:trPr>
        <w:tc>
          <w:tcPr>
            <w:tcW w:w="1103" w:type="dxa"/>
          </w:tcPr>
          <w:p w14:paraId="7F058DDE"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Fall 2021</w:t>
            </w:r>
          </w:p>
        </w:tc>
        <w:tc>
          <w:tcPr>
            <w:tcW w:w="1504" w:type="dxa"/>
            <w:tcBorders>
              <w:right w:val="single" w:sz="4" w:space="0" w:color="auto"/>
            </w:tcBorders>
            <w:shd w:val="clear" w:color="auto" w:fill="auto"/>
            <w:vAlign w:val="bottom"/>
          </w:tcPr>
          <w:p w14:paraId="13207850"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bCs/>
                <w:color w:val="000000"/>
                <w:sz w:val="20"/>
              </w:rPr>
              <w:t>89</w:t>
            </w:r>
          </w:p>
        </w:tc>
        <w:tc>
          <w:tcPr>
            <w:tcW w:w="1466" w:type="dxa"/>
            <w:tcBorders>
              <w:left w:val="single" w:sz="4" w:space="0" w:color="auto"/>
            </w:tcBorders>
            <w:vAlign w:val="bottom"/>
          </w:tcPr>
          <w:p w14:paraId="5FB44670"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30</w:t>
            </w:r>
          </w:p>
        </w:tc>
        <w:tc>
          <w:tcPr>
            <w:tcW w:w="1785" w:type="dxa"/>
            <w:vAlign w:val="bottom"/>
          </w:tcPr>
          <w:p w14:paraId="21FF2B6E"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28 (93%)</w:t>
            </w:r>
          </w:p>
        </w:tc>
        <w:tc>
          <w:tcPr>
            <w:tcW w:w="1697" w:type="dxa"/>
            <w:tcBorders>
              <w:right w:val="single" w:sz="4" w:space="0" w:color="auto"/>
            </w:tcBorders>
          </w:tcPr>
          <w:p w14:paraId="72C3B09D"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18 (60%)</w:t>
            </w:r>
          </w:p>
        </w:tc>
      </w:tr>
      <w:tr w:rsidR="00B33D62" w:rsidRPr="0079044A" w14:paraId="302FDF92" w14:textId="77777777" w:rsidTr="00CF409C">
        <w:trPr>
          <w:jc w:val="center"/>
        </w:trPr>
        <w:tc>
          <w:tcPr>
            <w:tcW w:w="1103" w:type="dxa"/>
          </w:tcPr>
          <w:p w14:paraId="49252375"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Fall 2022</w:t>
            </w:r>
          </w:p>
        </w:tc>
        <w:tc>
          <w:tcPr>
            <w:tcW w:w="1504" w:type="dxa"/>
            <w:tcBorders>
              <w:right w:val="single" w:sz="4" w:space="0" w:color="auto"/>
            </w:tcBorders>
            <w:shd w:val="clear" w:color="auto" w:fill="auto"/>
            <w:vAlign w:val="bottom"/>
          </w:tcPr>
          <w:p w14:paraId="30CE1945"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bCs/>
                <w:color w:val="000000"/>
                <w:sz w:val="20"/>
              </w:rPr>
              <w:t>118</w:t>
            </w:r>
          </w:p>
        </w:tc>
        <w:tc>
          <w:tcPr>
            <w:tcW w:w="1466" w:type="dxa"/>
            <w:tcBorders>
              <w:left w:val="single" w:sz="4" w:space="0" w:color="auto"/>
            </w:tcBorders>
            <w:vAlign w:val="bottom"/>
          </w:tcPr>
          <w:p w14:paraId="6DAC36C4"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33</w:t>
            </w:r>
          </w:p>
        </w:tc>
        <w:tc>
          <w:tcPr>
            <w:tcW w:w="1785" w:type="dxa"/>
            <w:vAlign w:val="bottom"/>
          </w:tcPr>
          <w:p w14:paraId="02BE0115"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24 (73%)</w:t>
            </w:r>
          </w:p>
        </w:tc>
        <w:tc>
          <w:tcPr>
            <w:tcW w:w="1697" w:type="dxa"/>
            <w:tcBorders>
              <w:right w:val="single" w:sz="4" w:space="0" w:color="auto"/>
            </w:tcBorders>
          </w:tcPr>
          <w:p w14:paraId="7528902C" w14:textId="77777777" w:rsidR="00B33D62" w:rsidRPr="0079044A" w:rsidRDefault="00B33D62" w:rsidP="00CF409C">
            <w:pPr>
              <w:pStyle w:val="NoSpacing"/>
              <w:jc w:val="center"/>
              <w:rPr>
                <w:rFonts w:ascii="Times New Roman" w:hAnsi="Times New Roman" w:cs="Times New Roman"/>
                <w:sz w:val="20"/>
              </w:rPr>
            </w:pPr>
          </w:p>
        </w:tc>
      </w:tr>
      <w:tr w:rsidR="00B33D62" w:rsidRPr="0079044A" w14:paraId="3F8F635C" w14:textId="77777777" w:rsidTr="00E531A7">
        <w:trPr>
          <w:jc w:val="center"/>
        </w:trPr>
        <w:tc>
          <w:tcPr>
            <w:tcW w:w="7555" w:type="dxa"/>
            <w:gridSpan w:val="5"/>
            <w:tcBorders>
              <w:right w:val="single" w:sz="4" w:space="0" w:color="auto"/>
            </w:tcBorders>
            <w:shd w:val="clear" w:color="auto" w:fill="D9D9D9" w:themeFill="background1" w:themeFillShade="D9"/>
          </w:tcPr>
          <w:p w14:paraId="45AE01FF" w14:textId="77777777" w:rsidR="00B33D62" w:rsidRPr="0079044A" w:rsidRDefault="00B33D62" w:rsidP="00CF409C">
            <w:pPr>
              <w:pStyle w:val="NoSpacing"/>
              <w:jc w:val="center"/>
              <w:rPr>
                <w:rFonts w:ascii="Times New Roman" w:hAnsi="Times New Roman" w:cs="Times New Roman"/>
                <w:b/>
                <w:sz w:val="20"/>
              </w:rPr>
            </w:pPr>
          </w:p>
        </w:tc>
      </w:tr>
      <w:tr w:rsidR="00B33D62" w:rsidRPr="0079044A" w14:paraId="66AC1F0A" w14:textId="77777777" w:rsidTr="00CF409C">
        <w:trPr>
          <w:jc w:val="center"/>
        </w:trPr>
        <w:tc>
          <w:tcPr>
            <w:tcW w:w="1103" w:type="dxa"/>
          </w:tcPr>
          <w:p w14:paraId="5FF7AACD" w14:textId="77777777" w:rsidR="00B33D62" w:rsidRPr="0079044A" w:rsidRDefault="00B33D62" w:rsidP="00CF409C">
            <w:pPr>
              <w:pStyle w:val="NoSpacing"/>
              <w:jc w:val="center"/>
              <w:rPr>
                <w:rFonts w:ascii="Times New Roman" w:hAnsi="Times New Roman" w:cs="Times New Roman"/>
                <w:color w:val="000000"/>
                <w:sz w:val="20"/>
              </w:rPr>
            </w:pPr>
          </w:p>
        </w:tc>
        <w:tc>
          <w:tcPr>
            <w:tcW w:w="1504" w:type="dxa"/>
            <w:tcBorders>
              <w:right w:val="single" w:sz="4" w:space="0" w:color="auto"/>
            </w:tcBorders>
            <w:vAlign w:val="bottom"/>
          </w:tcPr>
          <w:p w14:paraId="3B60635F" w14:textId="77777777" w:rsidR="00B33D62" w:rsidRPr="0079044A" w:rsidRDefault="00B33D62" w:rsidP="00CF409C">
            <w:pPr>
              <w:pStyle w:val="NoSpacing"/>
              <w:jc w:val="center"/>
              <w:rPr>
                <w:rFonts w:ascii="Times New Roman" w:hAnsi="Times New Roman" w:cs="Times New Roman"/>
                <w:b/>
                <w:sz w:val="20"/>
              </w:rPr>
            </w:pPr>
            <w:r w:rsidRPr="0079044A">
              <w:rPr>
                <w:rFonts w:ascii="Times New Roman" w:hAnsi="Times New Roman" w:cs="Times New Roman"/>
                <w:b/>
                <w:bCs/>
                <w:color w:val="000000"/>
                <w:sz w:val="20"/>
              </w:rPr>
              <w:t>Returned Spring</w:t>
            </w:r>
          </w:p>
        </w:tc>
        <w:tc>
          <w:tcPr>
            <w:tcW w:w="1466" w:type="dxa"/>
            <w:tcBorders>
              <w:top w:val="single" w:sz="4" w:space="0" w:color="auto"/>
              <w:left w:val="single" w:sz="4" w:space="0" w:color="auto"/>
            </w:tcBorders>
            <w:vAlign w:val="bottom"/>
          </w:tcPr>
          <w:p w14:paraId="7BD118BD"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b/>
                <w:sz w:val="20"/>
              </w:rPr>
              <w:t>Spring Term GPA &lt; 2.0</w:t>
            </w:r>
          </w:p>
        </w:tc>
        <w:tc>
          <w:tcPr>
            <w:tcW w:w="1785" w:type="dxa"/>
            <w:tcBorders>
              <w:top w:val="single" w:sz="4" w:space="0" w:color="auto"/>
            </w:tcBorders>
          </w:tcPr>
          <w:p w14:paraId="1FAEF3B6" w14:textId="77777777" w:rsidR="00B33D62" w:rsidRPr="0079044A" w:rsidRDefault="00B33D62" w:rsidP="00CF409C">
            <w:pPr>
              <w:pStyle w:val="NoSpacing"/>
              <w:jc w:val="center"/>
              <w:rPr>
                <w:rFonts w:ascii="Times New Roman" w:hAnsi="Times New Roman" w:cs="Times New Roman"/>
                <w:b/>
                <w:sz w:val="20"/>
              </w:rPr>
            </w:pPr>
            <w:r w:rsidRPr="0079044A">
              <w:rPr>
                <w:rFonts w:ascii="Times New Roman" w:hAnsi="Times New Roman" w:cs="Times New Roman"/>
                <w:b/>
                <w:sz w:val="20"/>
              </w:rPr>
              <w:t>Returned YR 2</w:t>
            </w:r>
          </w:p>
        </w:tc>
        <w:tc>
          <w:tcPr>
            <w:tcW w:w="1697" w:type="dxa"/>
            <w:tcBorders>
              <w:top w:val="single" w:sz="4" w:space="0" w:color="auto"/>
              <w:right w:val="single" w:sz="4" w:space="0" w:color="auto"/>
            </w:tcBorders>
          </w:tcPr>
          <w:p w14:paraId="42342CEC" w14:textId="77777777" w:rsidR="00B33D62" w:rsidRPr="0079044A" w:rsidRDefault="00B33D62" w:rsidP="00CF409C">
            <w:pPr>
              <w:pStyle w:val="NoSpacing"/>
              <w:jc w:val="center"/>
              <w:rPr>
                <w:rFonts w:ascii="Times New Roman" w:hAnsi="Times New Roman" w:cs="Times New Roman"/>
                <w:b/>
                <w:sz w:val="20"/>
              </w:rPr>
            </w:pPr>
            <w:r w:rsidRPr="0079044A">
              <w:rPr>
                <w:rFonts w:ascii="Times New Roman" w:hAnsi="Times New Roman" w:cs="Times New Roman"/>
                <w:b/>
                <w:sz w:val="20"/>
              </w:rPr>
              <w:t>Returned YR 3</w:t>
            </w:r>
          </w:p>
        </w:tc>
      </w:tr>
      <w:tr w:rsidR="00B33D62" w:rsidRPr="0079044A" w14:paraId="6E5487E7" w14:textId="77777777" w:rsidTr="00CF409C">
        <w:trPr>
          <w:jc w:val="center"/>
        </w:trPr>
        <w:tc>
          <w:tcPr>
            <w:tcW w:w="1103" w:type="dxa"/>
          </w:tcPr>
          <w:p w14:paraId="742FC382"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Fall 2020</w:t>
            </w:r>
          </w:p>
        </w:tc>
        <w:tc>
          <w:tcPr>
            <w:tcW w:w="1504" w:type="dxa"/>
            <w:tcBorders>
              <w:right w:val="single" w:sz="4" w:space="0" w:color="auto"/>
            </w:tcBorders>
            <w:shd w:val="clear" w:color="auto" w:fill="auto"/>
            <w:vAlign w:val="bottom"/>
          </w:tcPr>
          <w:p w14:paraId="676C3C3F"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bCs/>
                <w:color w:val="000000"/>
                <w:sz w:val="20"/>
              </w:rPr>
              <w:t>131</w:t>
            </w:r>
          </w:p>
        </w:tc>
        <w:tc>
          <w:tcPr>
            <w:tcW w:w="1466" w:type="dxa"/>
            <w:tcBorders>
              <w:left w:val="single" w:sz="4" w:space="0" w:color="auto"/>
            </w:tcBorders>
            <w:vAlign w:val="bottom"/>
          </w:tcPr>
          <w:p w14:paraId="3E503DFD"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71</w:t>
            </w:r>
          </w:p>
        </w:tc>
        <w:tc>
          <w:tcPr>
            <w:tcW w:w="1785" w:type="dxa"/>
          </w:tcPr>
          <w:p w14:paraId="2766EB7A"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28 (39%)</w:t>
            </w:r>
          </w:p>
        </w:tc>
        <w:tc>
          <w:tcPr>
            <w:tcW w:w="1697" w:type="dxa"/>
            <w:tcBorders>
              <w:right w:val="single" w:sz="4" w:space="0" w:color="auto"/>
            </w:tcBorders>
          </w:tcPr>
          <w:p w14:paraId="5301277B"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9 (12.7%)</w:t>
            </w:r>
          </w:p>
        </w:tc>
      </w:tr>
      <w:tr w:rsidR="00B33D62" w:rsidRPr="0079044A" w14:paraId="6F3EAC2F" w14:textId="77777777" w:rsidTr="00CF409C">
        <w:trPr>
          <w:jc w:val="center"/>
        </w:trPr>
        <w:tc>
          <w:tcPr>
            <w:tcW w:w="1103" w:type="dxa"/>
          </w:tcPr>
          <w:p w14:paraId="3BEE8A2D"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Fall 2021</w:t>
            </w:r>
          </w:p>
        </w:tc>
        <w:tc>
          <w:tcPr>
            <w:tcW w:w="1504" w:type="dxa"/>
            <w:tcBorders>
              <w:right w:val="single" w:sz="4" w:space="0" w:color="auto"/>
            </w:tcBorders>
            <w:shd w:val="clear" w:color="auto" w:fill="auto"/>
            <w:vAlign w:val="bottom"/>
          </w:tcPr>
          <w:p w14:paraId="4937B17F"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bCs/>
                <w:color w:val="000000"/>
                <w:sz w:val="20"/>
              </w:rPr>
              <w:t>89</w:t>
            </w:r>
          </w:p>
        </w:tc>
        <w:tc>
          <w:tcPr>
            <w:tcW w:w="1466" w:type="dxa"/>
            <w:tcBorders>
              <w:left w:val="single" w:sz="4" w:space="0" w:color="auto"/>
            </w:tcBorders>
            <w:vAlign w:val="bottom"/>
          </w:tcPr>
          <w:p w14:paraId="78A1241C"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54</w:t>
            </w:r>
          </w:p>
        </w:tc>
        <w:tc>
          <w:tcPr>
            <w:tcW w:w="1785" w:type="dxa"/>
          </w:tcPr>
          <w:p w14:paraId="58F3313E"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22 (41%)</w:t>
            </w:r>
          </w:p>
        </w:tc>
        <w:tc>
          <w:tcPr>
            <w:tcW w:w="1697" w:type="dxa"/>
            <w:tcBorders>
              <w:right w:val="single" w:sz="4" w:space="0" w:color="auto"/>
            </w:tcBorders>
          </w:tcPr>
          <w:p w14:paraId="2FDDE8F4"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8 (14.8%)</w:t>
            </w:r>
          </w:p>
        </w:tc>
      </w:tr>
      <w:tr w:rsidR="00B33D62" w:rsidRPr="0079044A" w14:paraId="33508EC5" w14:textId="77777777" w:rsidTr="00CF409C">
        <w:trPr>
          <w:jc w:val="center"/>
        </w:trPr>
        <w:tc>
          <w:tcPr>
            <w:tcW w:w="1103" w:type="dxa"/>
          </w:tcPr>
          <w:p w14:paraId="52607538"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Fall 2022</w:t>
            </w:r>
          </w:p>
        </w:tc>
        <w:tc>
          <w:tcPr>
            <w:tcW w:w="1504" w:type="dxa"/>
            <w:tcBorders>
              <w:right w:val="single" w:sz="4" w:space="0" w:color="auto"/>
            </w:tcBorders>
            <w:shd w:val="clear" w:color="auto" w:fill="auto"/>
            <w:vAlign w:val="bottom"/>
          </w:tcPr>
          <w:p w14:paraId="597DBFC8"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bCs/>
                <w:color w:val="000000"/>
                <w:sz w:val="20"/>
              </w:rPr>
              <w:t>118</w:t>
            </w:r>
          </w:p>
        </w:tc>
        <w:tc>
          <w:tcPr>
            <w:tcW w:w="1466" w:type="dxa"/>
            <w:tcBorders>
              <w:left w:val="single" w:sz="4" w:space="0" w:color="auto"/>
            </w:tcBorders>
            <w:vAlign w:val="bottom"/>
          </w:tcPr>
          <w:p w14:paraId="48333EB6"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79</w:t>
            </w:r>
          </w:p>
        </w:tc>
        <w:tc>
          <w:tcPr>
            <w:tcW w:w="1785" w:type="dxa"/>
          </w:tcPr>
          <w:p w14:paraId="70F9AAE6" w14:textId="77777777" w:rsidR="00B33D62" w:rsidRPr="0079044A" w:rsidRDefault="00B33D62" w:rsidP="00CF409C">
            <w:pPr>
              <w:pStyle w:val="NoSpacing"/>
              <w:jc w:val="center"/>
              <w:rPr>
                <w:rFonts w:ascii="Times New Roman" w:hAnsi="Times New Roman" w:cs="Times New Roman"/>
                <w:sz w:val="20"/>
              </w:rPr>
            </w:pPr>
            <w:r w:rsidRPr="0079044A">
              <w:rPr>
                <w:rFonts w:ascii="Times New Roman" w:hAnsi="Times New Roman" w:cs="Times New Roman"/>
                <w:sz w:val="20"/>
              </w:rPr>
              <w:t>33 (42%)</w:t>
            </w:r>
          </w:p>
        </w:tc>
        <w:tc>
          <w:tcPr>
            <w:tcW w:w="1697" w:type="dxa"/>
            <w:tcBorders>
              <w:right w:val="single" w:sz="4" w:space="0" w:color="auto"/>
            </w:tcBorders>
          </w:tcPr>
          <w:p w14:paraId="62500805" w14:textId="77777777" w:rsidR="00B33D62" w:rsidRPr="0079044A" w:rsidRDefault="00B33D62" w:rsidP="00CF409C">
            <w:pPr>
              <w:pStyle w:val="NoSpacing"/>
              <w:jc w:val="center"/>
              <w:rPr>
                <w:rFonts w:ascii="Times New Roman" w:hAnsi="Times New Roman" w:cs="Times New Roman"/>
                <w:sz w:val="20"/>
              </w:rPr>
            </w:pPr>
          </w:p>
        </w:tc>
      </w:tr>
    </w:tbl>
    <w:p w14:paraId="3A9BFD12" w14:textId="34CC3EB4" w:rsidR="0014434B" w:rsidRPr="0079044A" w:rsidRDefault="0014434B" w:rsidP="0014434B">
      <w:pPr>
        <w:pStyle w:val="NoSpacing"/>
        <w:rPr>
          <w:rFonts w:ascii="Times New Roman" w:hAnsi="Times New Roman" w:cs="Times New Roman"/>
        </w:rPr>
      </w:pPr>
    </w:p>
    <w:p w14:paraId="1A8E3DE2" w14:textId="653AEA73" w:rsidR="00091A8C" w:rsidRPr="0079044A" w:rsidRDefault="00091A8C" w:rsidP="0014434B">
      <w:pPr>
        <w:pStyle w:val="NoSpacing"/>
        <w:rPr>
          <w:rFonts w:ascii="Times New Roman" w:hAnsi="Times New Roman" w:cs="Times New Roman"/>
        </w:rPr>
      </w:pPr>
      <w:r w:rsidRPr="0079044A">
        <w:rPr>
          <w:rFonts w:ascii="Times New Roman" w:hAnsi="Times New Roman" w:cs="Times New Roman"/>
        </w:rPr>
        <w:t xml:space="preserve">Those who don’t rebound face the tough decision of whether or not to return the following semester with their warning status elevated to probation; for those who </w:t>
      </w:r>
      <w:r w:rsidR="003D109A" w:rsidRPr="0079044A">
        <w:rPr>
          <w:rFonts w:ascii="Times New Roman" w:hAnsi="Times New Roman" w:cs="Times New Roman"/>
        </w:rPr>
        <w:t xml:space="preserve">previously </w:t>
      </w:r>
      <w:r w:rsidRPr="0079044A">
        <w:rPr>
          <w:rFonts w:ascii="Times New Roman" w:hAnsi="Times New Roman" w:cs="Times New Roman"/>
        </w:rPr>
        <w:t>qualif</w:t>
      </w:r>
      <w:r w:rsidR="003D109A" w:rsidRPr="0079044A">
        <w:rPr>
          <w:rFonts w:ascii="Times New Roman" w:hAnsi="Times New Roman" w:cs="Times New Roman"/>
        </w:rPr>
        <w:t>ied</w:t>
      </w:r>
      <w:r w:rsidRPr="0079044A">
        <w:rPr>
          <w:rFonts w:ascii="Times New Roman" w:hAnsi="Times New Roman" w:cs="Times New Roman"/>
        </w:rPr>
        <w:t xml:space="preserve"> for financial aid, </w:t>
      </w:r>
      <w:r w:rsidR="003D109A" w:rsidRPr="0079044A">
        <w:rPr>
          <w:rFonts w:ascii="Times New Roman" w:hAnsi="Times New Roman" w:cs="Times New Roman"/>
        </w:rPr>
        <w:t>they face the loss of their</w:t>
      </w:r>
      <w:r w:rsidRPr="0079044A">
        <w:rPr>
          <w:rFonts w:ascii="Times New Roman" w:hAnsi="Times New Roman" w:cs="Times New Roman"/>
        </w:rPr>
        <w:t xml:space="preserve"> </w:t>
      </w:r>
      <w:r w:rsidR="006A34B3">
        <w:rPr>
          <w:rFonts w:ascii="Times New Roman" w:hAnsi="Times New Roman" w:cs="Times New Roman"/>
        </w:rPr>
        <w:t xml:space="preserve">aid </w:t>
      </w:r>
      <w:r w:rsidRPr="0079044A">
        <w:rPr>
          <w:rFonts w:ascii="Times New Roman" w:hAnsi="Times New Roman" w:cs="Times New Roman"/>
        </w:rPr>
        <w:t xml:space="preserve">eligibility </w:t>
      </w:r>
      <w:r w:rsidR="003D109A" w:rsidRPr="0079044A">
        <w:rPr>
          <w:rFonts w:ascii="Times New Roman" w:hAnsi="Times New Roman" w:cs="Times New Roman"/>
        </w:rPr>
        <w:t>as well</w:t>
      </w:r>
      <w:r w:rsidR="006A34B3">
        <w:rPr>
          <w:rFonts w:ascii="Times New Roman" w:hAnsi="Times New Roman" w:cs="Times New Roman"/>
        </w:rPr>
        <w:t>.</w:t>
      </w:r>
    </w:p>
    <w:p w14:paraId="48050563" w14:textId="77777777" w:rsidR="00091A8C" w:rsidRPr="0079044A" w:rsidRDefault="00091A8C" w:rsidP="0014434B">
      <w:pPr>
        <w:pStyle w:val="NoSpacing"/>
        <w:rPr>
          <w:rFonts w:ascii="Times New Roman" w:hAnsi="Times New Roman" w:cs="Times New Roman"/>
        </w:rPr>
      </w:pPr>
    </w:p>
    <w:p w14:paraId="22ADBA22" w14:textId="0579D6B8" w:rsidR="0053206D" w:rsidRPr="0079044A" w:rsidRDefault="00142D8D" w:rsidP="006A0BDF">
      <w:pPr>
        <w:pStyle w:val="NoSpacing"/>
        <w:rPr>
          <w:rFonts w:ascii="Times New Roman" w:hAnsi="Times New Roman" w:cs="Times New Roman"/>
        </w:rPr>
      </w:pPr>
      <w:r w:rsidRPr="0079044A">
        <w:rPr>
          <w:rFonts w:ascii="Times New Roman" w:hAnsi="Times New Roman" w:cs="Times New Roman"/>
        </w:rPr>
        <w:tab/>
      </w:r>
      <w:r w:rsidR="00B34609" w:rsidRPr="0079044A">
        <w:rPr>
          <w:rFonts w:ascii="Times New Roman" w:hAnsi="Times New Roman" w:cs="Times New Roman"/>
        </w:rPr>
        <w:t>YSU needs to be more deliberate in designing an academic success environment for students on academic warning, much the</w:t>
      </w:r>
      <w:r w:rsidR="004A0616" w:rsidRPr="0079044A">
        <w:rPr>
          <w:rFonts w:ascii="Times New Roman" w:hAnsi="Times New Roman" w:cs="Times New Roman"/>
        </w:rPr>
        <w:t xml:space="preserve"> way</w:t>
      </w:r>
      <w:r w:rsidR="00B34609" w:rsidRPr="0079044A">
        <w:rPr>
          <w:rFonts w:ascii="Times New Roman" w:hAnsi="Times New Roman" w:cs="Times New Roman"/>
        </w:rPr>
        <w:t xml:space="preserve"> </w:t>
      </w:r>
      <w:r w:rsidRPr="0079044A">
        <w:rPr>
          <w:rFonts w:ascii="Times New Roman" w:hAnsi="Times New Roman" w:cs="Times New Roman"/>
        </w:rPr>
        <w:t>it</w:t>
      </w:r>
      <w:r w:rsidR="00B34609" w:rsidRPr="0079044A">
        <w:rPr>
          <w:rFonts w:ascii="Times New Roman" w:hAnsi="Times New Roman" w:cs="Times New Roman"/>
        </w:rPr>
        <w:t xml:space="preserve"> has for first-semester freshmen.  </w:t>
      </w:r>
      <w:r w:rsidR="004A0616" w:rsidRPr="0079044A">
        <w:rPr>
          <w:rFonts w:ascii="Times New Roman" w:hAnsi="Times New Roman" w:cs="Times New Roman"/>
        </w:rPr>
        <w:t>Historical data shows that when decisions regarding academic recovery are left up to student</w:t>
      </w:r>
      <w:r w:rsidR="00EF41E3">
        <w:rPr>
          <w:rFonts w:ascii="Times New Roman" w:hAnsi="Times New Roman" w:cs="Times New Roman"/>
        </w:rPr>
        <w:t>s</w:t>
      </w:r>
      <w:r w:rsidR="004A0616" w:rsidRPr="0079044A">
        <w:rPr>
          <w:rFonts w:ascii="Times New Roman" w:hAnsi="Times New Roman" w:cs="Times New Roman"/>
        </w:rPr>
        <w:t xml:space="preserve">, </w:t>
      </w:r>
      <w:r w:rsidRPr="0079044A">
        <w:rPr>
          <w:rFonts w:ascii="Times New Roman" w:hAnsi="Times New Roman" w:cs="Times New Roman"/>
        </w:rPr>
        <w:t>f</w:t>
      </w:r>
      <w:r w:rsidR="006A0BDF" w:rsidRPr="0079044A">
        <w:rPr>
          <w:rFonts w:ascii="Times New Roman" w:hAnsi="Times New Roman" w:cs="Times New Roman"/>
        </w:rPr>
        <w:t>ew voluntarily seek adequate support</w:t>
      </w:r>
      <w:r w:rsidR="0053206D" w:rsidRPr="0079044A">
        <w:rPr>
          <w:rFonts w:ascii="Times New Roman" w:hAnsi="Times New Roman" w:cs="Times New Roman"/>
        </w:rPr>
        <w:t xml:space="preserve">.  </w:t>
      </w:r>
      <w:r w:rsidR="006A0BDF" w:rsidRPr="0079044A">
        <w:rPr>
          <w:rFonts w:ascii="Times New Roman" w:hAnsi="Times New Roman" w:cs="Times New Roman"/>
        </w:rPr>
        <w:t xml:space="preserve">Of the 118 Fall 2022 cohort students who returned for their second semester on academic warning, only 12 participated in academic coaching.  Of the 89 Fall 2021 cohort freshmen who returned for their second semester on warning, only 9 participated in coaching.  Only 10 of the 158 students in the 2020 cohort on academic warning in the spring sought coaching.  </w:t>
      </w:r>
    </w:p>
    <w:p w14:paraId="5C4CA856" w14:textId="1526ED1D" w:rsidR="0053206D" w:rsidRPr="0079044A" w:rsidRDefault="0053206D" w:rsidP="006A0BDF">
      <w:pPr>
        <w:pStyle w:val="NoSpacing"/>
        <w:rPr>
          <w:rFonts w:ascii="Times New Roman" w:hAnsi="Times New Roman" w:cs="Times New Roman"/>
        </w:rPr>
      </w:pPr>
    </w:p>
    <w:p w14:paraId="0020EE02" w14:textId="78FDD64F" w:rsidR="00D845C4" w:rsidRPr="0079044A" w:rsidRDefault="009335BD" w:rsidP="00D845C4">
      <w:pPr>
        <w:pStyle w:val="NoSpacing"/>
        <w:rPr>
          <w:rFonts w:ascii="Times New Roman" w:hAnsi="Times New Roman" w:cs="Times New Roman"/>
        </w:rPr>
      </w:pPr>
      <w:r w:rsidRPr="0079044A">
        <w:rPr>
          <w:rFonts w:ascii="Times New Roman" w:hAnsi="Times New Roman" w:cs="Times New Roman"/>
        </w:rPr>
        <w:tab/>
      </w:r>
      <w:r w:rsidR="004A0616" w:rsidRPr="0079044A">
        <w:rPr>
          <w:rFonts w:ascii="Times New Roman" w:hAnsi="Times New Roman" w:cs="Times New Roman"/>
        </w:rPr>
        <w:t xml:space="preserve">With the modifications proposed below, YSU’s Academic Standing and Dismissal Policy can provide the </w:t>
      </w:r>
      <w:r w:rsidR="00D845C4" w:rsidRPr="0079044A">
        <w:rPr>
          <w:rFonts w:ascii="Times New Roman" w:hAnsi="Times New Roman" w:cs="Times New Roman"/>
        </w:rPr>
        <w:t xml:space="preserve">framework </w:t>
      </w:r>
      <w:r w:rsidR="00B52818">
        <w:rPr>
          <w:rFonts w:ascii="Times New Roman" w:hAnsi="Times New Roman" w:cs="Times New Roman"/>
        </w:rPr>
        <w:t>within which t</w:t>
      </w:r>
      <w:r w:rsidR="00EF41E3">
        <w:rPr>
          <w:rFonts w:ascii="Times New Roman" w:hAnsi="Times New Roman" w:cs="Times New Roman"/>
        </w:rPr>
        <w:t xml:space="preserve">o implement </w:t>
      </w:r>
      <w:r w:rsidR="00B52818">
        <w:rPr>
          <w:rFonts w:ascii="Times New Roman" w:hAnsi="Times New Roman" w:cs="Times New Roman"/>
        </w:rPr>
        <w:t xml:space="preserve">the needed </w:t>
      </w:r>
      <w:r w:rsidR="00EF41E3">
        <w:rPr>
          <w:rFonts w:ascii="Times New Roman" w:hAnsi="Times New Roman" w:cs="Times New Roman"/>
        </w:rPr>
        <w:t>academic recovery strategy.</w:t>
      </w:r>
    </w:p>
    <w:p w14:paraId="56D4AC48" w14:textId="77777777" w:rsidR="00D845C4" w:rsidRPr="0079044A" w:rsidRDefault="00D845C4" w:rsidP="00D845C4">
      <w:pPr>
        <w:pStyle w:val="NoSpacing"/>
        <w:rPr>
          <w:rFonts w:ascii="Times New Roman" w:hAnsi="Times New Roman" w:cs="Times New Roman"/>
          <w:b/>
        </w:rPr>
      </w:pPr>
    </w:p>
    <w:p w14:paraId="48E1C38F" w14:textId="2C4A82BE" w:rsidR="004D2713" w:rsidRPr="0079044A" w:rsidRDefault="00344C3C" w:rsidP="00D845C4">
      <w:pPr>
        <w:pStyle w:val="NoSpacing"/>
        <w:rPr>
          <w:rFonts w:ascii="Times New Roman" w:hAnsi="Times New Roman" w:cs="Times New Roman"/>
        </w:rPr>
      </w:pPr>
      <w:r w:rsidRPr="0079044A">
        <w:rPr>
          <w:rFonts w:ascii="Times New Roman" w:hAnsi="Times New Roman" w:cs="Times New Roman"/>
          <w:b/>
        </w:rPr>
        <w:t>Modification 1.</w:t>
      </w:r>
      <w:r w:rsidRPr="0079044A">
        <w:rPr>
          <w:rFonts w:ascii="Times New Roman" w:hAnsi="Times New Roman" w:cs="Times New Roman"/>
        </w:rPr>
        <w:t xml:space="preserve"> </w:t>
      </w:r>
      <w:r w:rsidR="00D845C4" w:rsidRPr="0079044A">
        <w:rPr>
          <w:rFonts w:ascii="Times New Roman" w:hAnsi="Times New Roman" w:cs="Times New Roman"/>
          <w:b/>
        </w:rPr>
        <w:t>Reconceptualize and rename “Academic Warning” as “Academic Recovery</w:t>
      </w:r>
      <w:r w:rsidR="009335BD" w:rsidRPr="0079044A">
        <w:rPr>
          <w:rFonts w:ascii="Times New Roman" w:hAnsi="Times New Roman" w:cs="Times New Roman"/>
          <w:b/>
        </w:rPr>
        <w:t>” to communicate to students that YSU</w:t>
      </w:r>
      <w:r w:rsidR="00D845C4" w:rsidRPr="0079044A">
        <w:rPr>
          <w:rFonts w:ascii="Times New Roman" w:hAnsi="Times New Roman" w:cs="Times New Roman"/>
          <w:b/>
        </w:rPr>
        <w:t xml:space="preserve"> continues to believe in their potential to succeed.</w:t>
      </w:r>
      <w:r w:rsidR="00D845C4" w:rsidRPr="0079044A">
        <w:rPr>
          <w:rFonts w:ascii="Times New Roman" w:hAnsi="Times New Roman" w:cs="Times New Roman"/>
        </w:rPr>
        <w:t xml:space="preserve">  </w:t>
      </w:r>
      <w:r w:rsidR="00823E58" w:rsidRPr="0079044A">
        <w:rPr>
          <w:rFonts w:ascii="Times New Roman" w:hAnsi="Times New Roman" w:cs="Times New Roman"/>
        </w:rPr>
        <w:t xml:space="preserve">In his Introduction to </w:t>
      </w:r>
      <w:r w:rsidR="00823E58" w:rsidRPr="0079044A">
        <w:rPr>
          <w:rFonts w:ascii="Times New Roman" w:hAnsi="Times New Roman" w:cs="Times New Roman"/>
          <w:i/>
        </w:rPr>
        <w:t>Academic Recovery: Supporting Students on Academic Probation</w:t>
      </w:r>
      <w:r w:rsidR="00823E58" w:rsidRPr="0079044A">
        <w:rPr>
          <w:rFonts w:ascii="Times New Roman" w:hAnsi="Times New Roman" w:cs="Times New Roman"/>
        </w:rPr>
        <w:t xml:space="preserve">, </w:t>
      </w:r>
      <w:r w:rsidR="00D845C4" w:rsidRPr="0079044A">
        <w:rPr>
          <w:rFonts w:ascii="Times New Roman" w:hAnsi="Times New Roman" w:cs="Times New Roman"/>
        </w:rPr>
        <w:t>Michael T. Dial cautions, “[Students on probation] may feel disengaged from the university community that welcomed them at the point of admission, but is now warning them that they may not be cut out for success.</w:t>
      </w:r>
      <w:r w:rsidR="003A0C08" w:rsidRPr="0079044A">
        <w:rPr>
          <w:rFonts w:ascii="Times New Roman" w:hAnsi="Times New Roman" w:cs="Times New Roman"/>
        </w:rPr>
        <w:t>” (Dial, 2022, pp 7-8).</w:t>
      </w:r>
      <w:r w:rsidR="003A0C08" w:rsidRPr="0079044A">
        <w:rPr>
          <w:rStyle w:val="EndnoteReference"/>
          <w:rFonts w:ascii="Times New Roman" w:hAnsi="Times New Roman" w:cs="Times New Roman"/>
        </w:rPr>
        <w:endnoteReference w:id="1"/>
      </w:r>
      <w:r w:rsidR="00D845C4" w:rsidRPr="0079044A">
        <w:rPr>
          <w:rFonts w:ascii="Times New Roman" w:hAnsi="Times New Roman" w:cs="Times New Roman"/>
        </w:rPr>
        <w:t xml:space="preserve">  This modification seeks to change</w:t>
      </w:r>
      <w:r w:rsidR="00413811" w:rsidRPr="0079044A">
        <w:rPr>
          <w:rFonts w:ascii="Times New Roman" w:hAnsi="Times New Roman" w:cs="Times New Roman"/>
        </w:rPr>
        <w:t xml:space="preserve"> </w:t>
      </w:r>
      <w:r w:rsidR="00D845C4" w:rsidRPr="0079044A">
        <w:rPr>
          <w:rFonts w:ascii="Times New Roman" w:hAnsi="Times New Roman" w:cs="Times New Roman"/>
        </w:rPr>
        <w:t xml:space="preserve">the </w:t>
      </w:r>
      <w:r w:rsidR="00413811" w:rsidRPr="0079044A">
        <w:rPr>
          <w:rFonts w:ascii="Times New Roman" w:hAnsi="Times New Roman" w:cs="Times New Roman"/>
        </w:rPr>
        <w:t>“lived experience of students on probation,” often characterized by shame and embarrassment</w:t>
      </w:r>
      <w:r w:rsidR="00D845C4" w:rsidRPr="0079044A">
        <w:rPr>
          <w:rFonts w:ascii="Times New Roman" w:hAnsi="Times New Roman" w:cs="Times New Roman"/>
        </w:rPr>
        <w:t xml:space="preserve">, </w:t>
      </w:r>
      <w:r w:rsidR="009335BD" w:rsidRPr="0079044A">
        <w:rPr>
          <w:rFonts w:ascii="Times New Roman" w:hAnsi="Times New Roman" w:cs="Times New Roman"/>
        </w:rPr>
        <w:t xml:space="preserve">by replacing the punitive connotation of “warning” </w:t>
      </w:r>
      <w:r w:rsidR="00B52818">
        <w:rPr>
          <w:rFonts w:ascii="Times New Roman" w:hAnsi="Times New Roman" w:cs="Times New Roman"/>
        </w:rPr>
        <w:t xml:space="preserve">with an affirming </w:t>
      </w:r>
      <w:r w:rsidR="001F308F" w:rsidRPr="0079044A">
        <w:rPr>
          <w:rFonts w:ascii="Times New Roman" w:hAnsi="Times New Roman" w:cs="Times New Roman"/>
        </w:rPr>
        <w:t>a sense of agenc</w:t>
      </w:r>
      <w:r w:rsidR="00B52818">
        <w:rPr>
          <w:rFonts w:ascii="Times New Roman" w:hAnsi="Times New Roman" w:cs="Times New Roman"/>
        </w:rPr>
        <w:t>y connotated by “recovery.”</w:t>
      </w:r>
    </w:p>
    <w:p w14:paraId="6F792787" w14:textId="77777777" w:rsidR="004D2713" w:rsidRPr="0079044A" w:rsidRDefault="004D2713" w:rsidP="004D2713">
      <w:pPr>
        <w:pStyle w:val="NoSpacing"/>
        <w:rPr>
          <w:rFonts w:ascii="Times New Roman" w:hAnsi="Times New Roman" w:cs="Times New Roman"/>
        </w:rPr>
      </w:pPr>
    </w:p>
    <w:p w14:paraId="60A02B95" w14:textId="77777777" w:rsidR="001F308F" w:rsidRPr="0079044A" w:rsidRDefault="00344C3C" w:rsidP="00384467">
      <w:pPr>
        <w:pStyle w:val="NoSpacing"/>
        <w:rPr>
          <w:rFonts w:ascii="Times New Roman" w:hAnsi="Times New Roman" w:cs="Times New Roman"/>
          <w:b/>
        </w:rPr>
      </w:pPr>
      <w:r w:rsidRPr="0079044A">
        <w:rPr>
          <w:rFonts w:ascii="Times New Roman" w:hAnsi="Times New Roman" w:cs="Times New Roman"/>
          <w:b/>
        </w:rPr>
        <w:t>Modification 2.  R</w:t>
      </w:r>
      <w:r w:rsidR="001168D2" w:rsidRPr="0079044A">
        <w:rPr>
          <w:rFonts w:ascii="Times New Roman" w:hAnsi="Times New Roman" w:cs="Times New Roman"/>
          <w:b/>
        </w:rPr>
        <w:t xml:space="preserve">equire </w:t>
      </w:r>
      <w:r w:rsidR="007E2B28" w:rsidRPr="0079044A">
        <w:rPr>
          <w:rFonts w:ascii="Times New Roman" w:hAnsi="Times New Roman" w:cs="Times New Roman"/>
          <w:b/>
        </w:rPr>
        <w:t xml:space="preserve">students placed on academic recovery status to participate in individual academic coaching.  </w:t>
      </w:r>
    </w:p>
    <w:p w14:paraId="6355EA2F" w14:textId="77777777" w:rsidR="001F308F" w:rsidRPr="0079044A" w:rsidRDefault="001F308F" w:rsidP="00384467">
      <w:pPr>
        <w:pStyle w:val="NoSpacing"/>
        <w:rPr>
          <w:rFonts w:ascii="Times New Roman" w:hAnsi="Times New Roman" w:cs="Times New Roman"/>
        </w:rPr>
      </w:pPr>
    </w:p>
    <w:p w14:paraId="193A3B93" w14:textId="04C5A2C8" w:rsidR="00EB36D5" w:rsidRPr="0079044A" w:rsidRDefault="007565AF" w:rsidP="00384467">
      <w:pPr>
        <w:pStyle w:val="NoSpacing"/>
        <w:rPr>
          <w:rFonts w:ascii="Times New Roman" w:hAnsi="Times New Roman" w:cs="Times New Roman"/>
        </w:rPr>
      </w:pPr>
      <w:r w:rsidRPr="0079044A">
        <w:rPr>
          <w:rFonts w:ascii="Times New Roman" w:hAnsi="Times New Roman" w:cs="Times New Roman"/>
        </w:rPr>
        <w:t xml:space="preserve">Mandatory </w:t>
      </w:r>
      <w:r w:rsidR="00B52818">
        <w:rPr>
          <w:rFonts w:ascii="Times New Roman" w:hAnsi="Times New Roman" w:cs="Times New Roman"/>
        </w:rPr>
        <w:t xml:space="preserve">individual </w:t>
      </w:r>
      <w:r w:rsidRPr="0079044A">
        <w:rPr>
          <w:rFonts w:ascii="Times New Roman" w:hAnsi="Times New Roman" w:cs="Times New Roman"/>
        </w:rPr>
        <w:t xml:space="preserve">academic coaching is </w:t>
      </w:r>
      <w:r w:rsidR="00B52818">
        <w:rPr>
          <w:rFonts w:ascii="Times New Roman" w:hAnsi="Times New Roman" w:cs="Times New Roman"/>
        </w:rPr>
        <w:t>an intrusive intervention</w:t>
      </w:r>
      <w:r w:rsidR="0073057B" w:rsidRPr="0079044A">
        <w:rPr>
          <w:rFonts w:ascii="Times New Roman" w:hAnsi="Times New Roman" w:cs="Times New Roman"/>
        </w:rPr>
        <w:t>.</w:t>
      </w:r>
      <w:r w:rsidRPr="0079044A">
        <w:rPr>
          <w:rFonts w:ascii="Times New Roman" w:hAnsi="Times New Roman" w:cs="Times New Roman"/>
        </w:rPr>
        <w:t xml:space="preserve">  Mandating coaching </w:t>
      </w:r>
      <w:r w:rsidR="00A43846" w:rsidRPr="0079044A">
        <w:rPr>
          <w:rFonts w:ascii="Times New Roman" w:hAnsi="Times New Roman" w:cs="Times New Roman"/>
        </w:rPr>
        <w:t>allows the University to ensure the frequency, consistency, and duration of the intervention</w:t>
      </w:r>
      <w:r w:rsidR="002C292B" w:rsidRPr="0079044A">
        <w:rPr>
          <w:rFonts w:ascii="Times New Roman" w:hAnsi="Times New Roman" w:cs="Times New Roman"/>
        </w:rPr>
        <w:t>, while coaching students individually allows coaches to</w:t>
      </w:r>
      <w:r w:rsidR="00F949B8" w:rsidRPr="0079044A">
        <w:rPr>
          <w:rFonts w:ascii="Times New Roman" w:hAnsi="Times New Roman" w:cs="Times New Roman"/>
        </w:rPr>
        <w:t xml:space="preserve"> better understand each student’s </w:t>
      </w:r>
      <w:r w:rsidR="00A43846" w:rsidRPr="0079044A">
        <w:rPr>
          <w:rFonts w:ascii="Times New Roman" w:hAnsi="Times New Roman" w:cs="Times New Roman"/>
        </w:rPr>
        <w:t>academic journey</w:t>
      </w:r>
      <w:r w:rsidR="002C292B" w:rsidRPr="0079044A">
        <w:rPr>
          <w:rFonts w:ascii="Times New Roman" w:hAnsi="Times New Roman" w:cs="Times New Roman"/>
        </w:rPr>
        <w:t>,</w:t>
      </w:r>
      <w:r w:rsidRPr="0079044A">
        <w:rPr>
          <w:rFonts w:ascii="Times New Roman" w:hAnsi="Times New Roman" w:cs="Times New Roman"/>
        </w:rPr>
        <w:t xml:space="preserve"> </w:t>
      </w:r>
      <w:r w:rsidR="001F308F" w:rsidRPr="0079044A">
        <w:rPr>
          <w:rFonts w:ascii="Times New Roman" w:hAnsi="Times New Roman" w:cs="Times New Roman"/>
        </w:rPr>
        <w:t>habits</w:t>
      </w:r>
      <w:r w:rsidR="002C292B" w:rsidRPr="0079044A">
        <w:rPr>
          <w:rFonts w:ascii="Times New Roman" w:hAnsi="Times New Roman" w:cs="Times New Roman"/>
        </w:rPr>
        <w:t>, strengths,</w:t>
      </w:r>
      <w:r w:rsidR="001F308F" w:rsidRPr="0079044A">
        <w:rPr>
          <w:rFonts w:ascii="Times New Roman" w:hAnsi="Times New Roman" w:cs="Times New Roman"/>
        </w:rPr>
        <w:t xml:space="preserve"> </w:t>
      </w:r>
      <w:r w:rsidR="002C292B" w:rsidRPr="0079044A">
        <w:rPr>
          <w:rFonts w:ascii="Times New Roman" w:hAnsi="Times New Roman" w:cs="Times New Roman"/>
        </w:rPr>
        <w:t xml:space="preserve">the </w:t>
      </w:r>
      <w:r w:rsidR="001F308F" w:rsidRPr="0079044A">
        <w:rPr>
          <w:rFonts w:ascii="Times New Roman" w:hAnsi="Times New Roman" w:cs="Times New Roman"/>
        </w:rPr>
        <w:t>unique circumstances that led to poor performance</w:t>
      </w:r>
      <w:r w:rsidR="002C292B" w:rsidRPr="0079044A">
        <w:rPr>
          <w:rFonts w:ascii="Times New Roman" w:hAnsi="Times New Roman" w:cs="Times New Roman"/>
        </w:rPr>
        <w:t xml:space="preserve">, and </w:t>
      </w:r>
      <w:r w:rsidR="00B52818">
        <w:rPr>
          <w:rFonts w:ascii="Times New Roman" w:hAnsi="Times New Roman" w:cs="Times New Roman"/>
        </w:rPr>
        <w:t>any</w:t>
      </w:r>
      <w:r w:rsidR="002C292B" w:rsidRPr="0079044A">
        <w:rPr>
          <w:rFonts w:ascii="Times New Roman" w:hAnsi="Times New Roman" w:cs="Times New Roman"/>
        </w:rPr>
        <w:t xml:space="preserve"> persisting barriers or challenges </w:t>
      </w:r>
      <w:r w:rsidR="00F949B8" w:rsidRPr="0079044A">
        <w:rPr>
          <w:rFonts w:ascii="Times New Roman" w:hAnsi="Times New Roman" w:cs="Times New Roman"/>
        </w:rPr>
        <w:t xml:space="preserve">when determining </w:t>
      </w:r>
      <w:r w:rsidR="00A43846" w:rsidRPr="0079044A">
        <w:rPr>
          <w:rFonts w:ascii="Times New Roman" w:hAnsi="Times New Roman" w:cs="Times New Roman"/>
        </w:rPr>
        <w:t>and implementing a</w:t>
      </w:r>
      <w:r w:rsidR="001F308F" w:rsidRPr="0079044A">
        <w:rPr>
          <w:rFonts w:ascii="Times New Roman" w:hAnsi="Times New Roman" w:cs="Times New Roman"/>
        </w:rPr>
        <w:t xml:space="preserve"> </w:t>
      </w:r>
      <w:r w:rsidR="00F949B8" w:rsidRPr="0079044A">
        <w:rPr>
          <w:rFonts w:ascii="Times New Roman" w:hAnsi="Times New Roman" w:cs="Times New Roman"/>
        </w:rPr>
        <w:t>recovery strategy.</w:t>
      </w:r>
      <w:r w:rsidR="00535CD8" w:rsidRPr="0079044A">
        <w:rPr>
          <w:rFonts w:ascii="Times New Roman" w:hAnsi="Times New Roman" w:cs="Times New Roman"/>
        </w:rPr>
        <w:t xml:space="preserve">  This strategy</w:t>
      </w:r>
      <w:r w:rsidR="00B52818">
        <w:rPr>
          <w:rFonts w:ascii="Times New Roman" w:hAnsi="Times New Roman" w:cs="Times New Roman"/>
        </w:rPr>
        <w:t xml:space="preserve"> also</w:t>
      </w:r>
      <w:r w:rsidR="00535CD8" w:rsidRPr="0079044A">
        <w:rPr>
          <w:rFonts w:ascii="Times New Roman" w:hAnsi="Times New Roman" w:cs="Times New Roman"/>
        </w:rPr>
        <w:t xml:space="preserve"> </w:t>
      </w:r>
      <w:r w:rsidR="001F308F" w:rsidRPr="0079044A">
        <w:rPr>
          <w:rFonts w:ascii="Times New Roman" w:hAnsi="Times New Roman" w:cs="Times New Roman"/>
        </w:rPr>
        <w:t>ensur</w:t>
      </w:r>
      <w:r w:rsidR="00B52818">
        <w:rPr>
          <w:rFonts w:ascii="Times New Roman" w:hAnsi="Times New Roman" w:cs="Times New Roman"/>
        </w:rPr>
        <w:t>es</w:t>
      </w:r>
      <w:r w:rsidR="001F308F" w:rsidRPr="0079044A">
        <w:rPr>
          <w:rFonts w:ascii="Times New Roman" w:hAnsi="Times New Roman" w:cs="Times New Roman"/>
        </w:rPr>
        <w:t xml:space="preserve"> </w:t>
      </w:r>
      <w:r w:rsidR="00535CD8" w:rsidRPr="0079044A">
        <w:rPr>
          <w:rFonts w:ascii="Times New Roman" w:hAnsi="Times New Roman" w:cs="Times New Roman"/>
        </w:rPr>
        <w:t xml:space="preserve">more opportunities for students to connect with a concerned and supportive </w:t>
      </w:r>
      <w:r w:rsidR="001F308F" w:rsidRPr="0079044A">
        <w:rPr>
          <w:rFonts w:ascii="Times New Roman" w:hAnsi="Times New Roman" w:cs="Times New Roman"/>
        </w:rPr>
        <w:t xml:space="preserve">advocate </w:t>
      </w:r>
      <w:r w:rsidR="00535CD8" w:rsidRPr="0079044A">
        <w:rPr>
          <w:rFonts w:ascii="Times New Roman" w:hAnsi="Times New Roman" w:cs="Times New Roman"/>
        </w:rPr>
        <w:t>at a time they are likely to feel discouraged and unsure</w:t>
      </w:r>
      <w:r w:rsidR="00FE1E3D" w:rsidRPr="0079044A">
        <w:rPr>
          <w:rFonts w:ascii="Times New Roman" w:hAnsi="Times New Roman" w:cs="Times New Roman"/>
        </w:rPr>
        <w:t xml:space="preserve"> of their ability to reach their goals.  Coaches and students will determine </w:t>
      </w:r>
      <w:r w:rsidR="00B52818">
        <w:rPr>
          <w:rFonts w:ascii="Times New Roman" w:hAnsi="Times New Roman" w:cs="Times New Roman"/>
        </w:rPr>
        <w:t>strategies</w:t>
      </w:r>
      <w:r w:rsidR="00FE1E3D" w:rsidRPr="0079044A">
        <w:rPr>
          <w:rFonts w:ascii="Times New Roman" w:hAnsi="Times New Roman" w:cs="Times New Roman"/>
        </w:rPr>
        <w:t>, which may include any combination of</w:t>
      </w:r>
      <w:r w:rsidR="00F949B8" w:rsidRPr="0079044A">
        <w:rPr>
          <w:rFonts w:ascii="Times New Roman" w:hAnsi="Times New Roman" w:cs="Times New Roman"/>
        </w:rPr>
        <w:t xml:space="preserve"> </w:t>
      </w:r>
      <w:r w:rsidR="0047207B" w:rsidRPr="0079044A">
        <w:rPr>
          <w:rFonts w:ascii="Times New Roman" w:hAnsi="Times New Roman" w:cs="Times New Roman"/>
        </w:rPr>
        <w:t xml:space="preserve">tutoring, </w:t>
      </w:r>
      <w:r w:rsidR="00FE1E3D" w:rsidRPr="0079044A">
        <w:rPr>
          <w:rFonts w:ascii="Times New Roman" w:hAnsi="Times New Roman" w:cs="Times New Roman"/>
        </w:rPr>
        <w:t>time management, study strategy and test preparation coaching, mental health</w:t>
      </w:r>
      <w:r w:rsidR="0047207B" w:rsidRPr="0079044A">
        <w:rPr>
          <w:rFonts w:ascii="Times New Roman" w:hAnsi="Times New Roman" w:cs="Times New Roman"/>
        </w:rPr>
        <w:t xml:space="preserve"> counseling, and/or financial counseling, and may or may not </w:t>
      </w:r>
      <w:r w:rsidR="00FE1E3D" w:rsidRPr="0079044A">
        <w:rPr>
          <w:rFonts w:ascii="Times New Roman" w:hAnsi="Times New Roman" w:cs="Times New Roman"/>
        </w:rPr>
        <w:t xml:space="preserve">guide students to talk to their academic advisor about </w:t>
      </w:r>
      <w:r w:rsidR="0047207B" w:rsidRPr="0079044A">
        <w:rPr>
          <w:rFonts w:ascii="Times New Roman" w:hAnsi="Times New Roman" w:cs="Times New Roman"/>
        </w:rPr>
        <w:t>repeat</w:t>
      </w:r>
      <w:r w:rsidR="00FE1E3D" w:rsidRPr="0079044A">
        <w:rPr>
          <w:rFonts w:ascii="Times New Roman" w:hAnsi="Times New Roman" w:cs="Times New Roman"/>
        </w:rPr>
        <w:t>ing</w:t>
      </w:r>
      <w:r w:rsidR="0047207B" w:rsidRPr="0079044A">
        <w:rPr>
          <w:rFonts w:ascii="Times New Roman" w:hAnsi="Times New Roman" w:cs="Times New Roman"/>
        </w:rPr>
        <w:t xml:space="preserve"> classes, </w:t>
      </w:r>
      <w:r w:rsidR="00FE1E3D" w:rsidRPr="0079044A">
        <w:rPr>
          <w:rFonts w:ascii="Times New Roman" w:hAnsi="Times New Roman" w:cs="Times New Roman"/>
        </w:rPr>
        <w:t>changing their</w:t>
      </w:r>
      <w:r w:rsidR="0047207B" w:rsidRPr="0079044A">
        <w:rPr>
          <w:rFonts w:ascii="Times New Roman" w:hAnsi="Times New Roman" w:cs="Times New Roman"/>
        </w:rPr>
        <w:t xml:space="preserve"> major</w:t>
      </w:r>
      <w:r w:rsidR="00FE1E3D" w:rsidRPr="0079044A">
        <w:rPr>
          <w:rFonts w:ascii="Times New Roman" w:hAnsi="Times New Roman" w:cs="Times New Roman"/>
        </w:rPr>
        <w:t xml:space="preserve"> and petitioning</w:t>
      </w:r>
      <w:r w:rsidR="0047207B" w:rsidRPr="0079044A">
        <w:rPr>
          <w:rFonts w:ascii="Times New Roman" w:hAnsi="Times New Roman" w:cs="Times New Roman"/>
        </w:rPr>
        <w:t xml:space="preserve"> for academic reassessment</w:t>
      </w:r>
      <w:r w:rsidR="00FE1E3D" w:rsidRPr="0079044A">
        <w:rPr>
          <w:rFonts w:ascii="Times New Roman" w:hAnsi="Times New Roman" w:cs="Times New Roman"/>
        </w:rPr>
        <w:t>, etc.</w:t>
      </w:r>
    </w:p>
    <w:p w14:paraId="718C98F0" w14:textId="77777777" w:rsidR="00EB36D5" w:rsidRPr="0079044A" w:rsidRDefault="00EB36D5" w:rsidP="00384467">
      <w:pPr>
        <w:pStyle w:val="NoSpacing"/>
        <w:rPr>
          <w:rFonts w:ascii="Times New Roman" w:hAnsi="Times New Roman" w:cs="Times New Roman"/>
        </w:rPr>
      </w:pPr>
    </w:p>
    <w:p w14:paraId="4F13C855" w14:textId="23E0F183" w:rsidR="00384467" w:rsidRPr="0079044A" w:rsidRDefault="00EB36D5" w:rsidP="00384467">
      <w:pPr>
        <w:pStyle w:val="NoSpacing"/>
        <w:rPr>
          <w:rFonts w:ascii="Times New Roman" w:hAnsi="Times New Roman" w:cs="Times New Roman"/>
        </w:rPr>
      </w:pPr>
      <w:r w:rsidRPr="0079044A">
        <w:rPr>
          <w:rFonts w:ascii="Times New Roman" w:hAnsi="Times New Roman" w:cs="Times New Roman"/>
        </w:rPr>
        <w:t>If YSU’s coaching capacity</w:t>
      </w:r>
      <w:r w:rsidR="00FE1E3D" w:rsidRPr="0079044A">
        <w:rPr>
          <w:rFonts w:ascii="Times New Roman" w:hAnsi="Times New Roman" w:cs="Times New Roman"/>
        </w:rPr>
        <w:t xml:space="preserve"> in the Academic Success Center</w:t>
      </w:r>
      <w:r w:rsidRPr="0079044A">
        <w:rPr>
          <w:rFonts w:ascii="Times New Roman" w:hAnsi="Times New Roman" w:cs="Times New Roman"/>
        </w:rPr>
        <w:t xml:space="preserve"> remains the same as it currently is, mandating coaching would </w:t>
      </w:r>
      <w:r w:rsidR="00FE1E3D" w:rsidRPr="0079044A">
        <w:rPr>
          <w:rFonts w:ascii="Times New Roman" w:hAnsi="Times New Roman" w:cs="Times New Roman"/>
        </w:rPr>
        <w:t>require no new resources</w:t>
      </w:r>
      <w:r w:rsidRPr="0079044A">
        <w:rPr>
          <w:rFonts w:ascii="Times New Roman" w:hAnsi="Times New Roman" w:cs="Times New Roman"/>
        </w:rPr>
        <w:t xml:space="preserve">.  </w:t>
      </w:r>
      <w:r w:rsidR="00FE1E3D" w:rsidRPr="0079044A">
        <w:rPr>
          <w:rFonts w:ascii="Times New Roman" w:hAnsi="Times New Roman" w:cs="Times New Roman"/>
        </w:rPr>
        <w:t xml:space="preserve">If this modification is implemented, the majority of coaching would take place in the spring semester, when coaches in the ASC have the lightest coaching loads.  </w:t>
      </w:r>
    </w:p>
    <w:p w14:paraId="73F9E39C" w14:textId="1B16A710" w:rsidR="004D2713" w:rsidRPr="0079044A" w:rsidRDefault="004D2713" w:rsidP="004D2713">
      <w:pPr>
        <w:pStyle w:val="NoSpacing"/>
        <w:rPr>
          <w:rFonts w:ascii="Times New Roman" w:hAnsi="Times New Roman" w:cs="Times New Roman"/>
        </w:rPr>
      </w:pPr>
    </w:p>
    <w:p w14:paraId="3DD132D2" w14:textId="386FD8FE" w:rsidR="002322B8" w:rsidRPr="0079044A" w:rsidRDefault="00344C3C" w:rsidP="002C292B">
      <w:pPr>
        <w:pStyle w:val="NoSpacing"/>
        <w:rPr>
          <w:rFonts w:ascii="Times New Roman" w:hAnsi="Times New Roman" w:cs="Times New Roman"/>
        </w:rPr>
      </w:pPr>
      <w:r w:rsidRPr="0079044A">
        <w:rPr>
          <w:rFonts w:ascii="Times New Roman" w:hAnsi="Times New Roman" w:cs="Times New Roman"/>
          <w:b/>
        </w:rPr>
        <w:t xml:space="preserve">Modification </w:t>
      </w:r>
      <w:r w:rsidR="00605B17">
        <w:rPr>
          <w:rFonts w:ascii="Times New Roman" w:hAnsi="Times New Roman" w:cs="Times New Roman"/>
          <w:b/>
        </w:rPr>
        <w:t>3</w:t>
      </w:r>
      <w:r w:rsidRPr="0079044A">
        <w:rPr>
          <w:rFonts w:ascii="Times New Roman" w:hAnsi="Times New Roman" w:cs="Times New Roman"/>
          <w:b/>
        </w:rPr>
        <w:t>.  I</w:t>
      </w:r>
      <w:r w:rsidR="005F24A7" w:rsidRPr="0079044A">
        <w:rPr>
          <w:rFonts w:ascii="Times New Roman" w:hAnsi="Times New Roman" w:cs="Times New Roman"/>
          <w:b/>
        </w:rPr>
        <w:t xml:space="preserve">nstitute a cross-institutional </w:t>
      </w:r>
      <w:r w:rsidR="00F53D97" w:rsidRPr="0079044A">
        <w:rPr>
          <w:rFonts w:ascii="Times New Roman" w:hAnsi="Times New Roman" w:cs="Times New Roman"/>
          <w:b/>
        </w:rPr>
        <w:t xml:space="preserve">academic </w:t>
      </w:r>
      <w:r w:rsidR="005F24A7" w:rsidRPr="0079044A">
        <w:rPr>
          <w:rFonts w:ascii="Times New Roman" w:hAnsi="Times New Roman" w:cs="Times New Roman"/>
          <w:b/>
        </w:rPr>
        <w:t>reinstatement committee to standardize the reinstatement process.</w:t>
      </w:r>
      <w:r w:rsidR="005F24A7" w:rsidRPr="0079044A">
        <w:rPr>
          <w:rFonts w:ascii="Times New Roman" w:hAnsi="Times New Roman" w:cs="Times New Roman"/>
        </w:rPr>
        <w:t xml:space="preserve">  </w:t>
      </w:r>
      <w:r w:rsidR="00FE1E3D" w:rsidRPr="0079044A">
        <w:rPr>
          <w:rFonts w:ascii="Times New Roman" w:hAnsi="Times New Roman" w:cs="Times New Roman"/>
        </w:rPr>
        <w:t xml:space="preserve">In </w:t>
      </w:r>
      <w:r w:rsidR="00FE1E3D" w:rsidRPr="0079044A">
        <w:rPr>
          <w:rFonts w:ascii="Times New Roman" w:hAnsi="Times New Roman" w:cs="Times New Roman"/>
          <w:i/>
        </w:rPr>
        <w:t>Counseling students in academic difficulty</w:t>
      </w:r>
      <w:r w:rsidR="00FE1E3D" w:rsidRPr="0079044A">
        <w:rPr>
          <w:rFonts w:ascii="Times New Roman" w:hAnsi="Times New Roman" w:cs="Times New Roman"/>
        </w:rPr>
        <w:t xml:space="preserve">, Robert DeBard </w:t>
      </w:r>
      <w:r w:rsidR="00823E58" w:rsidRPr="0079044A">
        <w:rPr>
          <w:rFonts w:ascii="Times New Roman" w:hAnsi="Times New Roman" w:cs="Times New Roman"/>
        </w:rPr>
        <w:t>asserts</w:t>
      </w:r>
      <w:r w:rsidR="00FE1E3D" w:rsidRPr="0079044A">
        <w:rPr>
          <w:rFonts w:ascii="Times New Roman" w:hAnsi="Times New Roman" w:cs="Times New Roman"/>
        </w:rPr>
        <w:t xml:space="preserve"> that the </w:t>
      </w:r>
      <w:r w:rsidR="002322B8" w:rsidRPr="0079044A">
        <w:rPr>
          <w:rFonts w:ascii="Times New Roman" w:hAnsi="Times New Roman" w:cs="Times New Roman"/>
        </w:rPr>
        <w:t xml:space="preserve">worst possible approach </w:t>
      </w:r>
      <w:r w:rsidR="00FE1E3D" w:rsidRPr="0079044A">
        <w:rPr>
          <w:rFonts w:ascii="Times New Roman" w:hAnsi="Times New Roman" w:cs="Times New Roman"/>
        </w:rPr>
        <w:t>to supporting students on probation is a</w:t>
      </w:r>
      <w:r w:rsidR="002322B8" w:rsidRPr="0079044A">
        <w:rPr>
          <w:rFonts w:ascii="Times New Roman" w:hAnsi="Times New Roman" w:cs="Times New Roman"/>
        </w:rPr>
        <w:t xml:space="preserve"> "fractionalized" approach, in which </w:t>
      </w:r>
      <w:r w:rsidR="00FE1E3D" w:rsidRPr="0079044A">
        <w:rPr>
          <w:rFonts w:ascii="Times New Roman" w:hAnsi="Times New Roman" w:cs="Times New Roman"/>
        </w:rPr>
        <w:t>“</w:t>
      </w:r>
      <w:r w:rsidR="002322B8" w:rsidRPr="0079044A">
        <w:rPr>
          <w:rFonts w:ascii="Times New Roman" w:hAnsi="Times New Roman" w:cs="Times New Roman"/>
        </w:rPr>
        <w:t>different units of the institution respond to the student on probation with little or no effort to coordinate services</w:t>
      </w:r>
      <w:r w:rsidR="00FE1E3D" w:rsidRPr="0079044A">
        <w:rPr>
          <w:rFonts w:ascii="Times New Roman" w:hAnsi="Times New Roman" w:cs="Times New Roman"/>
        </w:rPr>
        <w:t>.”</w:t>
      </w:r>
      <w:r w:rsidR="002322B8" w:rsidRPr="0079044A">
        <w:rPr>
          <w:rFonts w:ascii="Times New Roman" w:hAnsi="Times New Roman" w:cs="Times New Roman"/>
        </w:rPr>
        <w:t xml:space="preserve"> (</w:t>
      </w:r>
      <w:r w:rsidR="00C93705" w:rsidRPr="0079044A">
        <w:rPr>
          <w:rFonts w:ascii="Times New Roman" w:hAnsi="Times New Roman" w:cs="Times New Roman"/>
        </w:rPr>
        <w:t xml:space="preserve">DeBard, 1987, </w:t>
      </w:r>
      <w:r w:rsidR="002322B8" w:rsidRPr="0079044A">
        <w:rPr>
          <w:rFonts w:ascii="Times New Roman" w:hAnsi="Times New Roman" w:cs="Times New Roman"/>
        </w:rPr>
        <w:t>p. 59).</w:t>
      </w:r>
      <w:r w:rsidR="003A0C08" w:rsidRPr="0079044A">
        <w:rPr>
          <w:rStyle w:val="EndnoteReference"/>
          <w:rFonts w:ascii="Times New Roman" w:hAnsi="Times New Roman" w:cs="Times New Roman"/>
        </w:rPr>
        <w:endnoteReference w:id="2"/>
      </w:r>
      <w:r w:rsidR="002322B8" w:rsidRPr="0079044A">
        <w:rPr>
          <w:rFonts w:ascii="Times New Roman" w:hAnsi="Times New Roman" w:cs="Times New Roman"/>
        </w:rPr>
        <w:t xml:space="preserve"> </w:t>
      </w:r>
      <w:r w:rsidR="00FE1E3D" w:rsidRPr="0079044A">
        <w:rPr>
          <w:rFonts w:ascii="Times New Roman" w:hAnsi="Times New Roman" w:cs="Times New Roman"/>
        </w:rPr>
        <w:t>This modification seeks to standardize the</w:t>
      </w:r>
      <w:r w:rsidR="00C93705" w:rsidRPr="0079044A">
        <w:rPr>
          <w:rFonts w:ascii="Times New Roman" w:hAnsi="Times New Roman" w:cs="Times New Roman"/>
        </w:rPr>
        <w:t xml:space="preserve"> reinstatement</w:t>
      </w:r>
      <w:r w:rsidR="005F24A7" w:rsidRPr="0079044A">
        <w:rPr>
          <w:rFonts w:ascii="Times New Roman" w:hAnsi="Times New Roman" w:cs="Times New Roman"/>
        </w:rPr>
        <w:t xml:space="preserve"> process</w:t>
      </w:r>
      <w:r w:rsidR="00FE1E3D" w:rsidRPr="0079044A">
        <w:rPr>
          <w:rFonts w:ascii="Times New Roman" w:hAnsi="Times New Roman" w:cs="Times New Roman"/>
        </w:rPr>
        <w:t>, not only to</w:t>
      </w:r>
      <w:r w:rsidR="005F24A7" w:rsidRPr="0079044A">
        <w:rPr>
          <w:rFonts w:ascii="Times New Roman" w:hAnsi="Times New Roman" w:cs="Times New Roman"/>
        </w:rPr>
        <w:t xml:space="preserve"> ensure all students </w:t>
      </w:r>
      <w:r w:rsidR="00146D62" w:rsidRPr="0079044A">
        <w:rPr>
          <w:rFonts w:ascii="Times New Roman" w:hAnsi="Times New Roman" w:cs="Times New Roman"/>
        </w:rPr>
        <w:t xml:space="preserve">are given </w:t>
      </w:r>
      <w:r w:rsidR="005F24A7" w:rsidRPr="0079044A">
        <w:rPr>
          <w:rFonts w:ascii="Times New Roman" w:hAnsi="Times New Roman" w:cs="Times New Roman"/>
        </w:rPr>
        <w:t>equal consideration</w:t>
      </w:r>
      <w:r w:rsidR="00C93705" w:rsidRPr="0079044A">
        <w:rPr>
          <w:rFonts w:ascii="Times New Roman" w:hAnsi="Times New Roman" w:cs="Times New Roman"/>
        </w:rPr>
        <w:t xml:space="preserve"> according to a set of criteria</w:t>
      </w:r>
      <w:r w:rsidR="00146D62" w:rsidRPr="0079044A">
        <w:rPr>
          <w:rFonts w:ascii="Times New Roman" w:hAnsi="Times New Roman" w:cs="Times New Roman"/>
        </w:rPr>
        <w:t xml:space="preserve">, </w:t>
      </w:r>
      <w:r w:rsidR="00FE1E3D" w:rsidRPr="0079044A">
        <w:rPr>
          <w:rFonts w:ascii="Times New Roman" w:hAnsi="Times New Roman" w:cs="Times New Roman"/>
        </w:rPr>
        <w:t xml:space="preserve">but that </w:t>
      </w:r>
      <w:r w:rsidR="00334C6C" w:rsidRPr="0079044A">
        <w:rPr>
          <w:rFonts w:ascii="Times New Roman" w:hAnsi="Times New Roman" w:cs="Times New Roman"/>
        </w:rPr>
        <w:t>students who are granted immediate reinstatement will be given a</w:t>
      </w:r>
      <w:r w:rsidR="00FE1E3D" w:rsidRPr="0079044A">
        <w:rPr>
          <w:rFonts w:ascii="Times New Roman" w:hAnsi="Times New Roman" w:cs="Times New Roman"/>
        </w:rPr>
        <w:t xml:space="preserve"> coordinated a</w:t>
      </w:r>
      <w:r w:rsidR="00334C6C" w:rsidRPr="0079044A">
        <w:rPr>
          <w:rFonts w:ascii="Times New Roman" w:hAnsi="Times New Roman" w:cs="Times New Roman"/>
        </w:rPr>
        <w:t xml:space="preserve">cademic recovery plan agreed upon by </w:t>
      </w:r>
      <w:r w:rsidR="00B52818">
        <w:rPr>
          <w:rFonts w:ascii="Times New Roman" w:hAnsi="Times New Roman" w:cs="Times New Roman"/>
        </w:rPr>
        <w:t>a broadly representative</w:t>
      </w:r>
      <w:r w:rsidR="00334C6C" w:rsidRPr="0079044A">
        <w:rPr>
          <w:rFonts w:ascii="Times New Roman" w:hAnsi="Times New Roman" w:cs="Times New Roman"/>
        </w:rPr>
        <w:t xml:space="preserve"> </w:t>
      </w:r>
      <w:r w:rsidR="008B1280">
        <w:rPr>
          <w:rFonts w:ascii="Times New Roman" w:hAnsi="Times New Roman" w:cs="Times New Roman"/>
        </w:rPr>
        <w:t xml:space="preserve">Academic </w:t>
      </w:r>
      <w:r w:rsidR="00334C6C" w:rsidRPr="0079044A">
        <w:rPr>
          <w:rFonts w:ascii="Times New Roman" w:hAnsi="Times New Roman" w:cs="Times New Roman"/>
        </w:rPr>
        <w:t xml:space="preserve">Reinstatement Committee.  </w:t>
      </w:r>
      <w:r w:rsidR="00B52818" w:rsidRPr="0079044A">
        <w:rPr>
          <w:rFonts w:ascii="Times New Roman" w:hAnsi="Times New Roman" w:cs="Times New Roman"/>
        </w:rPr>
        <w:t xml:space="preserve">The committee will be comprised of </w:t>
      </w:r>
      <w:r w:rsidR="004B3852" w:rsidRPr="0079044A">
        <w:rPr>
          <w:rFonts w:ascii="Times New Roman" w:hAnsi="Times New Roman" w:cs="Times New Roman"/>
        </w:rPr>
        <w:t xml:space="preserve">one representative from each </w:t>
      </w:r>
      <w:r w:rsidR="004B3852">
        <w:rPr>
          <w:rFonts w:ascii="Times New Roman" w:hAnsi="Times New Roman" w:cs="Times New Roman"/>
        </w:rPr>
        <w:t xml:space="preserve">academic </w:t>
      </w:r>
      <w:r w:rsidR="004B3852" w:rsidRPr="0079044A">
        <w:rPr>
          <w:rFonts w:ascii="Times New Roman" w:hAnsi="Times New Roman" w:cs="Times New Roman"/>
        </w:rPr>
        <w:t>college</w:t>
      </w:r>
      <w:r w:rsidR="004B3852">
        <w:rPr>
          <w:rFonts w:ascii="Times New Roman" w:hAnsi="Times New Roman" w:cs="Times New Roman"/>
        </w:rPr>
        <w:t>,</w:t>
      </w:r>
      <w:r w:rsidR="004B3852" w:rsidRPr="0079044A">
        <w:rPr>
          <w:rFonts w:ascii="Times New Roman" w:hAnsi="Times New Roman" w:cs="Times New Roman"/>
        </w:rPr>
        <w:t xml:space="preserve"> </w:t>
      </w:r>
      <w:r w:rsidR="00B52818" w:rsidRPr="0079044A">
        <w:rPr>
          <w:rFonts w:ascii="Times New Roman" w:hAnsi="Times New Roman" w:cs="Times New Roman"/>
        </w:rPr>
        <w:t>the Associate Provost for Student Success, and one representative each from</w:t>
      </w:r>
      <w:r w:rsidR="00605B17">
        <w:rPr>
          <w:rFonts w:ascii="Times New Roman" w:hAnsi="Times New Roman" w:cs="Times New Roman"/>
        </w:rPr>
        <w:t xml:space="preserve"> the Office of</w:t>
      </w:r>
      <w:r w:rsidR="00B52818" w:rsidRPr="0079044A">
        <w:rPr>
          <w:rFonts w:ascii="Times New Roman" w:hAnsi="Times New Roman" w:cs="Times New Roman"/>
        </w:rPr>
        <w:t xml:space="preserve"> Financial Aid</w:t>
      </w:r>
      <w:r w:rsidR="00605B17">
        <w:rPr>
          <w:rFonts w:ascii="Times New Roman" w:hAnsi="Times New Roman" w:cs="Times New Roman"/>
        </w:rPr>
        <w:t xml:space="preserve"> and Scholarships</w:t>
      </w:r>
      <w:r w:rsidR="00B52818" w:rsidRPr="0079044A">
        <w:rPr>
          <w:rFonts w:ascii="Times New Roman" w:hAnsi="Times New Roman" w:cs="Times New Roman"/>
        </w:rPr>
        <w:t xml:space="preserve">, the Resch Academic Success Center, the Registrar’s Office, and the Office of Career Exploration and Development.  </w:t>
      </w:r>
      <w:r w:rsidR="004B3852">
        <w:rPr>
          <w:rFonts w:ascii="Times New Roman" w:hAnsi="Times New Roman" w:cs="Times New Roman"/>
        </w:rPr>
        <w:t xml:space="preserve">College representatives will determine if a reinstated student may continue in their same college </w:t>
      </w:r>
      <w:bookmarkStart w:id="0" w:name="_GoBack"/>
      <w:bookmarkEnd w:id="0"/>
      <w:r w:rsidR="004B3852">
        <w:rPr>
          <w:rFonts w:ascii="Times New Roman" w:hAnsi="Times New Roman" w:cs="Times New Roman"/>
        </w:rPr>
        <w:t xml:space="preserve">or if they must change their major to Exploratory Undecided. </w:t>
      </w:r>
      <w:r w:rsidR="00C81646">
        <w:rPr>
          <w:rFonts w:ascii="Times New Roman" w:hAnsi="Times New Roman" w:cs="Times New Roman"/>
        </w:rPr>
        <w:t xml:space="preserve">If reinstated, the student will again be required to attend mandatory coaching.  </w:t>
      </w:r>
      <w:r w:rsidR="008B1280">
        <w:rPr>
          <w:rFonts w:ascii="Times New Roman" w:hAnsi="Times New Roman" w:cs="Times New Roman"/>
        </w:rPr>
        <w:t>The plan</w:t>
      </w:r>
      <w:r w:rsidR="008B1280" w:rsidRPr="0079044A">
        <w:rPr>
          <w:rFonts w:ascii="Times New Roman" w:hAnsi="Times New Roman" w:cs="Times New Roman"/>
        </w:rPr>
        <w:t xml:space="preserve"> may </w:t>
      </w:r>
      <w:r w:rsidR="0001765A">
        <w:rPr>
          <w:rFonts w:ascii="Times New Roman" w:hAnsi="Times New Roman" w:cs="Times New Roman"/>
        </w:rPr>
        <w:t>recommend</w:t>
      </w:r>
      <w:r w:rsidR="008B1280" w:rsidRPr="0079044A">
        <w:rPr>
          <w:rFonts w:ascii="Times New Roman" w:hAnsi="Times New Roman" w:cs="Times New Roman"/>
        </w:rPr>
        <w:t xml:space="preserve"> </w:t>
      </w:r>
      <w:r w:rsidR="008B1280">
        <w:rPr>
          <w:rFonts w:ascii="Times New Roman" w:hAnsi="Times New Roman" w:cs="Times New Roman"/>
        </w:rPr>
        <w:t xml:space="preserve">a combination of strategies, including </w:t>
      </w:r>
      <w:r w:rsidR="008B1280" w:rsidRPr="0079044A">
        <w:rPr>
          <w:rFonts w:ascii="Times New Roman" w:hAnsi="Times New Roman" w:cs="Times New Roman"/>
        </w:rPr>
        <w:t>change of majo</w:t>
      </w:r>
      <w:r w:rsidR="008B1280">
        <w:rPr>
          <w:rFonts w:ascii="Times New Roman" w:hAnsi="Times New Roman" w:cs="Times New Roman"/>
        </w:rPr>
        <w:t>r and</w:t>
      </w:r>
      <w:r w:rsidR="008B1280" w:rsidRPr="0079044A">
        <w:rPr>
          <w:rFonts w:ascii="Times New Roman" w:hAnsi="Times New Roman" w:cs="Times New Roman"/>
        </w:rPr>
        <w:t xml:space="preserve"> academic reassessment, YSU summer term enrollment, repeating classes, tutoring, individual coaching, or mental health counseling</w:t>
      </w:r>
      <w:r w:rsidR="008B1280">
        <w:rPr>
          <w:rFonts w:ascii="Times New Roman" w:hAnsi="Times New Roman" w:cs="Times New Roman"/>
        </w:rPr>
        <w:t xml:space="preserve">; </w:t>
      </w:r>
      <w:r w:rsidR="008B1280" w:rsidRPr="0079044A">
        <w:rPr>
          <w:rFonts w:ascii="Times New Roman" w:hAnsi="Times New Roman" w:cs="Times New Roman"/>
        </w:rPr>
        <w:t>students would again be required to participate in coaching</w:t>
      </w:r>
      <w:r w:rsidR="00B52818">
        <w:rPr>
          <w:rFonts w:ascii="Times New Roman" w:hAnsi="Times New Roman" w:cs="Times New Roman"/>
        </w:rPr>
        <w:t xml:space="preserve">. </w:t>
      </w:r>
      <w:r w:rsidR="00C93705" w:rsidRPr="0079044A">
        <w:rPr>
          <w:rFonts w:ascii="Times New Roman" w:hAnsi="Times New Roman" w:cs="Times New Roman"/>
        </w:rPr>
        <w:t>The plan will be sent to both the student’s coach and academic advisor.</w:t>
      </w:r>
    </w:p>
    <w:p w14:paraId="587BE468" w14:textId="77777777" w:rsidR="002322B8" w:rsidRDefault="002322B8" w:rsidP="002C292B">
      <w:pPr>
        <w:pStyle w:val="NoSpacing"/>
      </w:pPr>
    </w:p>
    <w:sectPr w:rsidR="002322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29AD" w14:textId="77777777" w:rsidR="00D95F3B" w:rsidRDefault="00D95F3B" w:rsidP="0085161C">
      <w:pPr>
        <w:spacing w:after="0" w:line="240" w:lineRule="auto"/>
      </w:pPr>
      <w:r>
        <w:separator/>
      </w:r>
    </w:p>
  </w:endnote>
  <w:endnote w:type="continuationSeparator" w:id="0">
    <w:p w14:paraId="4032AEDF" w14:textId="77777777" w:rsidR="00D95F3B" w:rsidRDefault="00D95F3B" w:rsidP="0085161C">
      <w:pPr>
        <w:spacing w:after="0" w:line="240" w:lineRule="auto"/>
      </w:pPr>
      <w:r>
        <w:continuationSeparator/>
      </w:r>
    </w:p>
  </w:endnote>
  <w:endnote w:id="1">
    <w:p w14:paraId="5FFED6DB" w14:textId="6F9424CC" w:rsidR="003A0C08" w:rsidRPr="0079044A" w:rsidRDefault="003A0C08" w:rsidP="003A0C08">
      <w:pPr>
        <w:rPr>
          <w:rFonts w:ascii="Times New Roman" w:hAnsi="Times New Roman" w:cs="Times New Roman"/>
        </w:rPr>
      </w:pPr>
      <w:r>
        <w:rPr>
          <w:rStyle w:val="EndnoteReference"/>
        </w:rPr>
        <w:endnoteRef/>
      </w:r>
      <w:r>
        <w:t xml:space="preserve"> </w:t>
      </w:r>
      <w:r w:rsidRPr="0079044A">
        <w:rPr>
          <w:rFonts w:ascii="Times New Roman" w:hAnsi="Times New Roman" w:cs="Times New Roman"/>
          <w:i/>
        </w:rPr>
        <w:t xml:space="preserve">Dial, M.T. (2022). </w:t>
      </w:r>
      <w:r w:rsidRPr="0079044A">
        <w:rPr>
          <w:rFonts w:ascii="Times New Roman" w:hAnsi="Times New Roman" w:cs="Times New Roman"/>
        </w:rPr>
        <w:t xml:space="preserve">What we know about students on probation and supporting them. In Dial, M.T. </w:t>
      </w:r>
      <w:r w:rsidRPr="0079044A">
        <w:rPr>
          <w:rFonts w:ascii="Times New Roman" w:hAnsi="Times New Roman" w:cs="Times New Roman"/>
          <w:i/>
        </w:rPr>
        <w:t>Academic recovery: supporting students on academic probation</w:t>
      </w:r>
      <w:r w:rsidRPr="0079044A">
        <w:rPr>
          <w:rFonts w:ascii="Times New Roman" w:hAnsi="Times New Roman" w:cs="Times New Roman"/>
        </w:rPr>
        <w:t xml:space="preserve"> (p</w:t>
      </w:r>
      <w:r w:rsidR="0079044A">
        <w:rPr>
          <w:rFonts w:ascii="Times New Roman" w:hAnsi="Times New Roman" w:cs="Times New Roman"/>
        </w:rPr>
        <w:t>p.</w:t>
      </w:r>
      <w:r w:rsidRPr="0079044A">
        <w:rPr>
          <w:rFonts w:ascii="Times New Roman" w:hAnsi="Times New Roman" w:cs="Times New Roman"/>
        </w:rPr>
        <w:t xml:space="preserve"> 7-8). University of South Carolina, National Resource Center on the First Year Experience &amp; Students in Transition.</w:t>
      </w:r>
    </w:p>
  </w:endnote>
  <w:endnote w:id="2">
    <w:p w14:paraId="312BACD3" w14:textId="21549D9F" w:rsidR="003A0C08" w:rsidRPr="0079044A" w:rsidRDefault="003A0C08" w:rsidP="003A0C08">
      <w:pPr>
        <w:pStyle w:val="NoSpacing"/>
        <w:rPr>
          <w:rFonts w:ascii="Times New Roman" w:hAnsi="Times New Roman" w:cs="Times New Roman"/>
        </w:rPr>
      </w:pPr>
      <w:r w:rsidRPr="0079044A">
        <w:rPr>
          <w:rStyle w:val="EndnoteReference"/>
          <w:rFonts w:ascii="Times New Roman" w:hAnsi="Times New Roman" w:cs="Times New Roman"/>
        </w:rPr>
        <w:endnoteRef/>
      </w:r>
      <w:r w:rsidRPr="0079044A">
        <w:rPr>
          <w:rFonts w:ascii="Times New Roman" w:hAnsi="Times New Roman" w:cs="Times New Roman"/>
        </w:rPr>
        <w:t xml:space="preserve"> DeBard</w:t>
      </w:r>
      <w:r w:rsidR="0079044A">
        <w:rPr>
          <w:rFonts w:ascii="Times New Roman" w:hAnsi="Times New Roman" w:cs="Times New Roman"/>
        </w:rPr>
        <w:t>,</w:t>
      </w:r>
      <w:r w:rsidRPr="0079044A">
        <w:rPr>
          <w:rFonts w:ascii="Times New Roman" w:hAnsi="Times New Roman" w:cs="Times New Roman"/>
        </w:rPr>
        <w:t xml:space="preserve"> R. (1987). Counseling students in academic difficulty. </w:t>
      </w:r>
      <w:r w:rsidRPr="0079044A">
        <w:rPr>
          <w:rFonts w:ascii="Times New Roman" w:hAnsi="Times New Roman" w:cs="Times New Roman"/>
          <w:i/>
        </w:rPr>
        <w:t>College and University: the Journal of the American Association of Collegiate Registrars</w:t>
      </w:r>
      <w:r w:rsidRPr="0079044A">
        <w:rPr>
          <w:rFonts w:ascii="Times New Roman" w:hAnsi="Times New Roman" w:cs="Times New Roman"/>
        </w:rPr>
        <w:t>, 63(1), 57-63.</w:t>
      </w:r>
    </w:p>
    <w:p w14:paraId="5C7E007D" w14:textId="4C815411" w:rsidR="003A0C08" w:rsidRPr="0079044A" w:rsidRDefault="003A0C08">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649C" w14:textId="77777777" w:rsidR="00D95F3B" w:rsidRDefault="00D95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69C8" w14:textId="77777777" w:rsidR="00D95F3B" w:rsidRDefault="00D95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B4D3" w14:textId="77777777" w:rsidR="00D95F3B" w:rsidRDefault="00D95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DBFFC" w14:textId="77777777" w:rsidR="00D95F3B" w:rsidRDefault="00D95F3B" w:rsidP="0085161C">
      <w:pPr>
        <w:spacing w:after="0" w:line="240" w:lineRule="auto"/>
      </w:pPr>
      <w:r>
        <w:separator/>
      </w:r>
    </w:p>
  </w:footnote>
  <w:footnote w:type="continuationSeparator" w:id="0">
    <w:p w14:paraId="331CE3F2" w14:textId="77777777" w:rsidR="00D95F3B" w:rsidRDefault="00D95F3B" w:rsidP="0085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6EB4" w14:textId="77777777" w:rsidR="00D95F3B" w:rsidRDefault="00D95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363219"/>
      <w:docPartObj>
        <w:docPartGallery w:val="Watermarks"/>
        <w:docPartUnique/>
      </w:docPartObj>
    </w:sdtPr>
    <w:sdtEndPr/>
    <w:sdtContent>
      <w:p w14:paraId="6ADE53CF" w14:textId="7C7B5C62" w:rsidR="00D95F3B" w:rsidRDefault="00605B17">
        <w:pPr>
          <w:pStyle w:val="Header"/>
        </w:pPr>
        <w:r>
          <w:rPr>
            <w:noProof/>
          </w:rPr>
          <w:pict w14:anchorId="70D9C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3786" w14:textId="77777777" w:rsidR="00D95F3B" w:rsidRDefault="00D95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C3AC"/>
    <w:multiLevelType w:val="hybridMultilevel"/>
    <w:tmpl w:val="9306CE14"/>
    <w:lvl w:ilvl="0" w:tplc="920EA81C">
      <w:start w:val="1"/>
      <w:numFmt w:val="bullet"/>
      <w:lvlText w:val=""/>
      <w:lvlJc w:val="left"/>
      <w:pPr>
        <w:ind w:left="720" w:hanging="360"/>
      </w:pPr>
      <w:rPr>
        <w:rFonts w:ascii="Symbol" w:hAnsi="Symbol" w:hint="default"/>
      </w:rPr>
    </w:lvl>
    <w:lvl w:ilvl="1" w:tplc="B77A3D0A">
      <w:start w:val="1"/>
      <w:numFmt w:val="bullet"/>
      <w:lvlText w:val="o"/>
      <w:lvlJc w:val="left"/>
      <w:pPr>
        <w:ind w:left="1440" w:hanging="360"/>
      </w:pPr>
      <w:rPr>
        <w:rFonts w:ascii="Courier New" w:hAnsi="Courier New" w:hint="default"/>
      </w:rPr>
    </w:lvl>
    <w:lvl w:ilvl="2" w:tplc="FB266BFE">
      <w:start w:val="1"/>
      <w:numFmt w:val="bullet"/>
      <w:lvlText w:val=""/>
      <w:lvlJc w:val="left"/>
      <w:pPr>
        <w:ind w:left="2160" w:hanging="360"/>
      </w:pPr>
      <w:rPr>
        <w:rFonts w:ascii="Wingdings" w:hAnsi="Wingdings" w:hint="default"/>
      </w:rPr>
    </w:lvl>
    <w:lvl w:ilvl="3" w:tplc="7260717E">
      <w:start w:val="1"/>
      <w:numFmt w:val="bullet"/>
      <w:lvlText w:val=""/>
      <w:lvlJc w:val="left"/>
      <w:pPr>
        <w:ind w:left="2880" w:hanging="360"/>
      </w:pPr>
      <w:rPr>
        <w:rFonts w:ascii="Symbol" w:hAnsi="Symbol" w:hint="default"/>
      </w:rPr>
    </w:lvl>
    <w:lvl w:ilvl="4" w:tplc="823A577E">
      <w:start w:val="1"/>
      <w:numFmt w:val="bullet"/>
      <w:lvlText w:val="o"/>
      <w:lvlJc w:val="left"/>
      <w:pPr>
        <w:ind w:left="3600" w:hanging="360"/>
      </w:pPr>
      <w:rPr>
        <w:rFonts w:ascii="Courier New" w:hAnsi="Courier New" w:hint="default"/>
      </w:rPr>
    </w:lvl>
    <w:lvl w:ilvl="5" w:tplc="EA52ECE8">
      <w:start w:val="1"/>
      <w:numFmt w:val="bullet"/>
      <w:lvlText w:val=""/>
      <w:lvlJc w:val="left"/>
      <w:pPr>
        <w:ind w:left="4320" w:hanging="360"/>
      </w:pPr>
      <w:rPr>
        <w:rFonts w:ascii="Wingdings" w:hAnsi="Wingdings" w:hint="default"/>
      </w:rPr>
    </w:lvl>
    <w:lvl w:ilvl="6" w:tplc="41C0B906">
      <w:start w:val="1"/>
      <w:numFmt w:val="bullet"/>
      <w:lvlText w:val=""/>
      <w:lvlJc w:val="left"/>
      <w:pPr>
        <w:ind w:left="5040" w:hanging="360"/>
      </w:pPr>
      <w:rPr>
        <w:rFonts w:ascii="Symbol" w:hAnsi="Symbol" w:hint="default"/>
      </w:rPr>
    </w:lvl>
    <w:lvl w:ilvl="7" w:tplc="B986FBFC">
      <w:start w:val="1"/>
      <w:numFmt w:val="bullet"/>
      <w:lvlText w:val="o"/>
      <w:lvlJc w:val="left"/>
      <w:pPr>
        <w:ind w:left="5760" w:hanging="360"/>
      </w:pPr>
      <w:rPr>
        <w:rFonts w:ascii="Courier New" w:hAnsi="Courier New" w:hint="default"/>
      </w:rPr>
    </w:lvl>
    <w:lvl w:ilvl="8" w:tplc="9AD2E708">
      <w:start w:val="1"/>
      <w:numFmt w:val="bullet"/>
      <w:lvlText w:val=""/>
      <w:lvlJc w:val="left"/>
      <w:pPr>
        <w:ind w:left="6480" w:hanging="360"/>
      </w:pPr>
      <w:rPr>
        <w:rFonts w:ascii="Wingdings" w:hAnsi="Wingdings" w:hint="default"/>
      </w:rPr>
    </w:lvl>
  </w:abstractNum>
  <w:abstractNum w:abstractNumId="1" w15:restartNumberingAfterBreak="0">
    <w:nsid w:val="16AD0EA3"/>
    <w:multiLevelType w:val="hybridMultilevel"/>
    <w:tmpl w:val="4730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66A7D"/>
    <w:multiLevelType w:val="hybridMultilevel"/>
    <w:tmpl w:val="3C90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1A44A"/>
    <w:multiLevelType w:val="hybridMultilevel"/>
    <w:tmpl w:val="3C8EA56A"/>
    <w:lvl w:ilvl="0" w:tplc="5B58CA76">
      <w:start w:val="1"/>
      <w:numFmt w:val="bullet"/>
      <w:lvlText w:val=""/>
      <w:lvlJc w:val="left"/>
      <w:pPr>
        <w:ind w:left="720" w:hanging="360"/>
      </w:pPr>
      <w:rPr>
        <w:rFonts w:ascii="Symbol" w:hAnsi="Symbol" w:hint="default"/>
      </w:rPr>
    </w:lvl>
    <w:lvl w:ilvl="1" w:tplc="A35222CA">
      <w:start w:val="1"/>
      <w:numFmt w:val="bullet"/>
      <w:lvlText w:val="o"/>
      <w:lvlJc w:val="left"/>
      <w:pPr>
        <w:ind w:left="1440" w:hanging="360"/>
      </w:pPr>
      <w:rPr>
        <w:rFonts w:ascii="Courier New" w:hAnsi="Courier New" w:hint="default"/>
      </w:rPr>
    </w:lvl>
    <w:lvl w:ilvl="2" w:tplc="146487CC">
      <w:start w:val="1"/>
      <w:numFmt w:val="bullet"/>
      <w:lvlText w:val=""/>
      <w:lvlJc w:val="left"/>
      <w:pPr>
        <w:ind w:left="2160" w:hanging="360"/>
      </w:pPr>
      <w:rPr>
        <w:rFonts w:ascii="Wingdings" w:hAnsi="Wingdings" w:hint="default"/>
      </w:rPr>
    </w:lvl>
    <w:lvl w:ilvl="3" w:tplc="16F0611E">
      <w:start w:val="1"/>
      <w:numFmt w:val="bullet"/>
      <w:lvlText w:val=""/>
      <w:lvlJc w:val="left"/>
      <w:pPr>
        <w:ind w:left="2880" w:hanging="360"/>
      </w:pPr>
      <w:rPr>
        <w:rFonts w:ascii="Symbol" w:hAnsi="Symbol" w:hint="default"/>
      </w:rPr>
    </w:lvl>
    <w:lvl w:ilvl="4" w:tplc="3504238C">
      <w:start w:val="1"/>
      <w:numFmt w:val="bullet"/>
      <w:lvlText w:val="o"/>
      <w:lvlJc w:val="left"/>
      <w:pPr>
        <w:ind w:left="3600" w:hanging="360"/>
      </w:pPr>
      <w:rPr>
        <w:rFonts w:ascii="Courier New" w:hAnsi="Courier New" w:hint="default"/>
      </w:rPr>
    </w:lvl>
    <w:lvl w:ilvl="5" w:tplc="0C3A8866">
      <w:start w:val="1"/>
      <w:numFmt w:val="bullet"/>
      <w:lvlText w:val=""/>
      <w:lvlJc w:val="left"/>
      <w:pPr>
        <w:ind w:left="4320" w:hanging="360"/>
      </w:pPr>
      <w:rPr>
        <w:rFonts w:ascii="Wingdings" w:hAnsi="Wingdings" w:hint="default"/>
      </w:rPr>
    </w:lvl>
    <w:lvl w:ilvl="6" w:tplc="15FA6242">
      <w:start w:val="1"/>
      <w:numFmt w:val="bullet"/>
      <w:lvlText w:val=""/>
      <w:lvlJc w:val="left"/>
      <w:pPr>
        <w:ind w:left="5040" w:hanging="360"/>
      </w:pPr>
      <w:rPr>
        <w:rFonts w:ascii="Symbol" w:hAnsi="Symbol" w:hint="default"/>
      </w:rPr>
    </w:lvl>
    <w:lvl w:ilvl="7" w:tplc="E5349142">
      <w:start w:val="1"/>
      <w:numFmt w:val="bullet"/>
      <w:lvlText w:val="o"/>
      <w:lvlJc w:val="left"/>
      <w:pPr>
        <w:ind w:left="5760" w:hanging="360"/>
      </w:pPr>
      <w:rPr>
        <w:rFonts w:ascii="Courier New" w:hAnsi="Courier New" w:hint="default"/>
      </w:rPr>
    </w:lvl>
    <w:lvl w:ilvl="8" w:tplc="3CEECD2C">
      <w:start w:val="1"/>
      <w:numFmt w:val="bullet"/>
      <w:lvlText w:val=""/>
      <w:lvlJc w:val="left"/>
      <w:pPr>
        <w:ind w:left="6480" w:hanging="360"/>
      </w:pPr>
      <w:rPr>
        <w:rFonts w:ascii="Wingdings" w:hAnsi="Wingdings" w:hint="default"/>
      </w:rPr>
    </w:lvl>
  </w:abstractNum>
  <w:abstractNum w:abstractNumId="4" w15:restartNumberingAfterBreak="0">
    <w:nsid w:val="268E476A"/>
    <w:multiLevelType w:val="hybridMultilevel"/>
    <w:tmpl w:val="F498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92960"/>
    <w:multiLevelType w:val="hybridMultilevel"/>
    <w:tmpl w:val="DF0ED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64A52"/>
    <w:multiLevelType w:val="hybridMultilevel"/>
    <w:tmpl w:val="D6A8A566"/>
    <w:lvl w:ilvl="0" w:tplc="B88666A2">
      <w:start w:val="1"/>
      <w:numFmt w:val="bullet"/>
      <w:lvlText w:val=""/>
      <w:lvlJc w:val="left"/>
      <w:pPr>
        <w:ind w:left="720" w:hanging="360"/>
      </w:pPr>
      <w:rPr>
        <w:rFonts w:ascii="Symbol" w:hAnsi="Symbol" w:hint="default"/>
      </w:rPr>
    </w:lvl>
    <w:lvl w:ilvl="1" w:tplc="C0063E10">
      <w:start w:val="1"/>
      <w:numFmt w:val="bullet"/>
      <w:lvlText w:val="o"/>
      <w:lvlJc w:val="left"/>
      <w:pPr>
        <w:ind w:left="1440" w:hanging="360"/>
      </w:pPr>
      <w:rPr>
        <w:rFonts w:ascii="Courier New" w:hAnsi="Courier New" w:hint="default"/>
      </w:rPr>
    </w:lvl>
    <w:lvl w:ilvl="2" w:tplc="6CDCC97E">
      <w:start w:val="1"/>
      <w:numFmt w:val="bullet"/>
      <w:lvlText w:val=""/>
      <w:lvlJc w:val="left"/>
      <w:pPr>
        <w:ind w:left="2160" w:hanging="360"/>
      </w:pPr>
      <w:rPr>
        <w:rFonts w:ascii="Wingdings" w:hAnsi="Wingdings" w:hint="default"/>
      </w:rPr>
    </w:lvl>
    <w:lvl w:ilvl="3" w:tplc="68FC03DA">
      <w:start w:val="1"/>
      <w:numFmt w:val="bullet"/>
      <w:lvlText w:val=""/>
      <w:lvlJc w:val="left"/>
      <w:pPr>
        <w:ind w:left="2880" w:hanging="360"/>
      </w:pPr>
      <w:rPr>
        <w:rFonts w:ascii="Symbol" w:hAnsi="Symbol" w:hint="default"/>
      </w:rPr>
    </w:lvl>
    <w:lvl w:ilvl="4" w:tplc="09BA81E8">
      <w:start w:val="1"/>
      <w:numFmt w:val="bullet"/>
      <w:lvlText w:val="o"/>
      <w:lvlJc w:val="left"/>
      <w:pPr>
        <w:ind w:left="3600" w:hanging="360"/>
      </w:pPr>
      <w:rPr>
        <w:rFonts w:ascii="Courier New" w:hAnsi="Courier New" w:hint="default"/>
      </w:rPr>
    </w:lvl>
    <w:lvl w:ilvl="5" w:tplc="0066C888">
      <w:start w:val="1"/>
      <w:numFmt w:val="bullet"/>
      <w:lvlText w:val=""/>
      <w:lvlJc w:val="left"/>
      <w:pPr>
        <w:ind w:left="4320" w:hanging="360"/>
      </w:pPr>
      <w:rPr>
        <w:rFonts w:ascii="Wingdings" w:hAnsi="Wingdings" w:hint="default"/>
      </w:rPr>
    </w:lvl>
    <w:lvl w:ilvl="6" w:tplc="8C669B38">
      <w:start w:val="1"/>
      <w:numFmt w:val="bullet"/>
      <w:lvlText w:val=""/>
      <w:lvlJc w:val="left"/>
      <w:pPr>
        <w:ind w:left="5040" w:hanging="360"/>
      </w:pPr>
      <w:rPr>
        <w:rFonts w:ascii="Symbol" w:hAnsi="Symbol" w:hint="default"/>
      </w:rPr>
    </w:lvl>
    <w:lvl w:ilvl="7" w:tplc="3E5E0EEC">
      <w:start w:val="1"/>
      <w:numFmt w:val="bullet"/>
      <w:lvlText w:val="o"/>
      <w:lvlJc w:val="left"/>
      <w:pPr>
        <w:ind w:left="5760" w:hanging="360"/>
      </w:pPr>
      <w:rPr>
        <w:rFonts w:ascii="Courier New" w:hAnsi="Courier New" w:hint="default"/>
      </w:rPr>
    </w:lvl>
    <w:lvl w:ilvl="8" w:tplc="D452FCE6">
      <w:start w:val="1"/>
      <w:numFmt w:val="bullet"/>
      <w:lvlText w:val=""/>
      <w:lvlJc w:val="left"/>
      <w:pPr>
        <w:ind w:left="6480" w:hanging="360"/>
      </w:pPr>
      <w:rPr>
        <w:rFonts w:ascii="Wingdings" w:hAnsi="Wingdings" w:hint="default"/>
      </w:rPr>
    </w:lvl>
  </w:abstractNum>
  <w:abstractNum w:abstractNumId="7" w15:restartNumberingAfterBreak="0">
    <w:nsid w:val="3E1153A9"/>
    <w:multiLevelType w:val="hybridMultilevel"/>
    <w:tmpl w:val="821A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16BDC"/>
    <w:multiLevelType w:val="hybridMultilevel"/>
    <w:tmpl w:val="4B28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17706"/>
    <w:multiLevelType w:val="hybridMultilevel"/>
    <w:tmpl w:val="F2703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4497D"/>
    <w:multiLevelType w:val="hybridMultilevel"/>
    <w:tmpl w:val="F1B40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60E3C"/>
    <w:multiLevelType w:val="hybridMultilevel"/>
    <w:tmpl w:val="6BAE6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4"/>
  </w:num>
  <w:num w:numId="6">
    <w:abstractNumId w:val="2"/>
  </w:num>
  <w:num w:numId="7">
    <w:abstractNumId w:val="1"/>
  </w:num>
  <w:num w:numId="8">
    <w:abstractNumId w:val="9"/>
  </w:num>
  <w:num w:numId="9">
    <w:abstractNumId w:val="7"/>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088BA0"/>
    <w:rsid w:val="0001765A"/>
    <w:rsid w:val="00021DB5"/>
    <w:rsid w:val="000364FF"/>
    <w:rsid w:val="000563AA"/>
    <w:rsid w:val="000919C8"/>
    <w:rsid w:val="00091A8C"/>
    <w:rsid w:val="000964E1"/>
    <w:rsid w:val="000B5920"/>
    <w:rsid w:val="000C5C48"/>
    <w:rsid w:val="000D4191"/>
    <w:rsid w:val="000E331A"/>
    <w:rsid w:val="00100CDD"/>
    <w:rsid w:val="001168D2"/>
    <w:rsid w:val="00142D8D"/>
    <w:rsid w:val="0014434B"/>
    <w:rsid w:val="00146D62"/>
    <w:rsid w:val="00156FDE"/>
    <w:rsid w:val="00174A6A"/>
    <w:rsid w:val="00180539"/>
    <w:rsid w:val="001835EC"/>
    <w:rsid w:val="00190CEF"/>
    <w:rsid w:val="001B42E2"/>
    <w:rsid w:val="001C1A3F"/>
    <w:rsid w:val="001E0BFE"/>
    <w:rsid w:val="001F308F"/>
    <w:rsid w:val="0020206A"/>
    <w:rsid w:val="002051B1"/>
    <w:rsid w:val="00206A7A"/>
    <w:rsid w:val="00215760"/>
    <w:rsid w:val="0022377D"/>
    <w:rsid w:val="002322B8"/>
    <w:rsid w:val="002434EF"/>
    <w:rsid w:val="00247063"/>
    <w:rsid w:val="0025631B"/>
    <w:rsid w:val="00266C95"/>
    <w:rsid w:val="00283B3B"/>
    <w:rsid w:val="00297016"/>
    <w:rsid w:val="002C2602"/>
    <w:rsid w:val="002C292B"/>
    <w:rsid w:val="002F0B9D"/>
    <w:rsid w:val="002F4C20"/>
    <w:rsid w:val="002F6843"/>
    <w:rsid w:val="00305B56"/>
    <w:rsid w:val="00315140"/>
    <w:rsid w:val="003241CC"/>
    <w:rsid w:val="00334C6C"/>
    <w:rsid w:val="00344C3C"/>
    <w:rsid w:val="003559C3"/>
    <w:rsid w:val="003637BE"/>
    <w:rsid w:val="00384467"/>
    <w:rsid w:val="003901B4"/>
    <w:rsid w:val="003A0C08"/>
    <w:rsid w:val="003B3A1E"/>
    <w:rsid w:val="003C7216"/>
    <w:rsid w:val="003D109A"/>
    <w:rsid w:val="00413811"/>
    <w:rsid w:val="00427530"/>
    <w:rsid w:val="00456C31"/>
    <w:rsid w:val="0046456F"/>
    <w:rsid w:val="00471159"/>
    <w:rsid w:val="0047207B"/>
    <w:rsid w:val="00477DCE"/>
    <w:rsid w:val="004867AD"/>
    <w:rsid w:val="004A0616"/>
    <w:rsid w:val="004A1484"/>
    <w:rsid w:val="004B3852"/>
    <w:rsid w:val="004B7F3A"/>
    <w:rsid w:val="004D2713"/>
    <w:rsid w:val="004E1C4A"/>
    <w:rsid w:val="0053206D"/>
    <w:rsid w:val="00535CD8"/>
    <w:rsid w:val="00542D01"/>
    <w:rsid w:val="00547257"/>
    <w:rsid w:val="005579C7"/>
    <w:rsid w:val="00566889"/>
    <w:rsid w:val="00570B24"/>
    <w:rsid w:val="00575845"/>
    <w:rsid w:val="00577202"/>
    <w:rsid w:val="005C663D"/>
    <w:rsid w:val="005E6F0E"/>
    <w:rsid w:val="005F24A7"/>
    <w:rsid w:val="005F60CD"/>
    <w:rsid w:val="00605B17"/>
    <w:rsid w:val="00636993"/>
    <w:rsid w:val="006404E2"/>
    <w:rsid w:val="00651ABD"/>
    <w:rsid w:val="00655AE8"/>
    <w:rsid w:val="00663FE1"/>
    <w:rsid w:val="00671562"/>
    <w:rsid w:val="00671EE5"/>
    <w:rsid w:val="006A0BDF"/>
    <w:rsid w:val="006A34B3"/>
    <w:rsid w:val="006B30CE"/>
    <w:rsid w:val="006B7C4D"/>
    <w:rsid w:val="006E2856"/>
    <w:rsid w:val="006F5B1C"/>
    <w:rsid w:val="007032B5"/>
    <w:rsid w:val="0073057B"/>
    <w:rsid w:val="00733DDB"/>
    <w:rsid w:val="007476E8"/>
    <w:rsid w:val="007565AF"/>
    <w:rsid w:val="00771EE2"/>
    <w:rsid w:val="00774B0C"/>
    <w:rsid w:val="0079044A"/>
    <w:rsid w:val="007A1A41"/>
    <w:rsid w:val="007A2383"/>
    <w:rsid w:val="007A2634"/>
    <w:rsid w:val="007B52F6"/>
    <w:rsid w:val="007D35D9"/>
    <w:rsid w:val="007E2B28"/>
    <w:rsid w:val="007E6686"/>
    <w:rsid w:val="007F7561"/>
    <w:rsid w:val="008104A9"/>
    <w:rsid w:val="0081167A"/>
    <w:rsid w:val="008154C8"/>
    <w:rsid w:val="00823E58"/>
    <w:rsid w:val="0084244C"/>
    <w:rsid w:val="0085161C"/>
    <w:rsid w:val="008849AB"/>
    <w:rsid w:val="00893A48"/>
    <w:rsid w:val="008A1DD6"/>
    <w:rsid w:val="008B1280"/>
    <w:rsid w:val="009335BD"/>
    <w:rsid w:val="00956091"/>
    <w:rsid w:val="00966AEE"/>
    <w:rsid w:val="00983D29"/>
    <w:rsid w:val="009A2677"/>
    <w:rsid w:val="009B0BC5"/>
    <w:rsid w:val="009F750E"/>
    <w:rsid w:val="00A03EE5"/>
    <w:rsid w:val="00A276B2"/>
    <w:rsid w:val="00A32212"/>
    <w:rsid w:val="00A367CB"/>
    <w:rsid w:val="00A43846"/>
    <w:rsid w:val="00A755A5"/>
    <w:rsid w:val="00A82092"/>
    <w:rsid w:val="00A82A11"/>
    <w:rsid w:val="00AA27E3"/>
    <w:rsid w:val="00AB3326"/>
    <w:rsid w:val="00AB6AF2"/>
    <w:rsid w:val="00AD18C6"/>
    <w:rsid w:val="00AE012B"/>
    <w:rsid w:val="00AF0B5C"/>
    <w:rsid w:val="00B00C6E"/>
    <w:rsid w:val="00B10838"/>
    <w:rsid w:val="00B33D62"/>
    <w:rsid w:val="00B34609"/>
    <w:rsid w:val="00B52818"/>
    <w:rsid w:val="00B623F5"/>
    <w:rsid w:val="00BB0ED2"/>
    <w:rsid w:val="00BE49EE"/>
    <w:rsid w:val="00BF74E2"/>
    <w:rsid w:val="00C46CED"/>
    <w:rsid w:val="00C51740"/>
    <w:rsid w:val="00C5563E"/>
    <w:rsid w:val="00C81646"/>
    <w:rsid w:val="00C85FDF"/>
    <w:rsid w:val="00C904ED"/>
    <w:rsid w:val="00C93705"/>
    <w:rsid w:val="00CB6273"/>
    <w:rsid w:val="00CE2338"/>
    <w:rsid w:val="00CF3B14"/>
    <w:rsid w:val="00D0337E"/>
    <w:rsid w:val="00D25ECB"/>
    <w:rsid w:val="00D41EAB"/>
    <w:rsid w:val="00D45F3E"/>
    <w:rsid w:val="00D47D21"/>
    <w:rsid w:val="00D6795E"/>
    <w:rsid w:val="00D845C4"/>
    <w:rsid w:val="00D95F3B"/>
    <w:rsid w:val="00DA5DC2"/>
    <w:rsid w:val="00E027A1"/>
    <w:rsid w:val="00E16D40"/>
    <w:rsid w:val="00E3026F"/>
    <w:rsid w:val="00E31CD6"/>
    <w:rsid w:val="00E34121"/>
    <w:rsid w:val="00E35BF9"/>
    <w:rsid w:val="00E477B0"/>
    <w:rsid w:val="00E531A7"/>
    <w:rsid w:val="00E53CC5"/>
    <w:rsid w:val="00E61614"/>
    <w:rsid w:val="00E737CB"/>
    <w:rsid w:val="00E758F0"/>
    <w:rsid w:val="00E94179"/>
    <w:rsid w:val="00E961C2"/>
    <w:rsid w:val="00EA2DC2"/>
    <w:rsid w:val="00EB36D5"/>
    <w:rsid w:val="00EB4BA6"/>
    <w:rsid w:val="00EC94E6"/>
    <w:rsid w:val="00EE051B"/>
    <w:rsid w:val="00EF41E3"/>
    <w:rsid w:val="00F02DBB"/>
    <w:rsid w:val="00F02FCC"/>
    <w:rsid w:val="00F20DC2"/>
    <w:rsid w:val="00F20FF9"/>
    <w:rsid w:val="00F227E2"/>
    <w:rsid w:val="00F26EC8"/>
    <w:rsid w:val="00F2788B"/>
    <w:rsid w:val="00F30ABB"/>
    <w:rsid w:val="00F376A6"/>
    <w:rsid w:val="00F53D97"/>
    <w:rsid w:val="00F7142F"/>
    <w:rsid w:val="00F814C3"/>
    <w:rsid w:val="00F91578"/>
    <w:rsid w:val="00F949B8"/>
    <w:rsid w:val="00FA2D69"/>
    <w:rsid w:val="00FA7C3D"/>
    <w:rsid w:val="00FE1E3D"/>
    <w:rsid w:val="00FE2AAA"/>
    <w:rsid w:val="0154CCE1"/>
    <w:rsid w:val="01977B90"/>
    <w:rsid w:val="0226853E"/>
    <w:rsid w:val="02C57980"/>
    <w:rsid w:val="032B5E6B"/>
    <w:rsid w:val="040DE687"/>
    <w:rsid w:val="05A9B6E8"/>
    <w:rsid w:val="0662FF2D"/>
    <w:rsid w:val="071CB7AC"/>
    <w:rsid w:val="08088BA0"/>
    <w:rsid w:val="0833F7FF"/>
    <w:rsid w:val="0884CD1D"/>
    <w:rsid w:val="08E157AA"/>
    <w:rsid w:val="09863352"/>
    <w:rsid w:val="099A9FEF"/>
    <w:rsid w:val="0B367050"/>
    <w:rsid w:val="0B923C9D"/>
    <w:rsid w:val="0BBC6DDF"/>
    <w:rsid w:val="0BC726F5"/>
    <w:rsid w:val="0C18F86C"/>
    <w:rsid w:val="0CD240B1"/>
    <w:rsid w:val="0D583E40"/>
    <w:rsid w:val="0F054978"/>
    <w:rsid w:val="0F50992E"/>
    <w:rsid w:val="0FDFA416"/>
    <w:rsid w:val="10089F50"/>
    <w:rsid w:val="1009E173"/>
    <w:rsid w:val="1011CEF9"/>
    <w:rsid w:val="1097FE8C"/>
    <w:rsid w:val="11C4D916"/>
    <w:rsid w:val="128839F0"/>
    <w:rsid w:val="13F7C4CB"/>
    <w:rsid w:val="145E2CDB"/>
    <w:rsid w:val="17FC1D29"/>
    <w:rsid w:val="1830F36C"/>
    <w:rsid w:val="18F77B74"/>
    <w:rsid w:val="19D2160A"/>
    <w:rsid w:val="1AA3826A"/>
    <w:rsid w:val="1B276AD6"/>
    <w:rsid w:val="1BA99E60"/>
    <w:rsid w:val="1C2F1C36"/>
    <w:rsid w:val="1CDBC732"/>
    <w:rsid w:val="1D7AF8DC"/>
    <w:rsid w:val="1DF285DD"/>
    <w:rsid w:val="1F66BCF8"/>
    <w:rsid w:val="1F91FCCF"/>
    <w:rsid w:val="200D8EF2"/>
    <w:rsid w:val="20E63336"/>
    <w:rsid w:val="2208E41F"/>
    <w:rsid w:val="224525FF"/>
    <w:rsid w:val="22882C64"/>
    <w:rsid w:val="229E5DBA"/>
    <w:rsid w:val="231C6DC3"/>
    <w:rsid w:val="231E88F1"/>
    <w:rsid w:val="235D4138"/>
    <w:rsid w:val="244436D7"/>
    <w:rsid w:val="26FA6C74"/>
    <w:rsid w:val="274D2E20"/>
    <w:rsid w:val="287E2268"/>
    <w:rsid w:val="2A129D08"/>
    <w:rsid w:val="2AA96F9F"/>
    <w:rsid w:val="2B49C17D"/>
    <w:rsid w:val="2CA27B1C"/>
    <w:rsid w:val="2E244E78"/>
    <w:rsid w:val="2E5F206A"/>
    <w:rsid w:val="2F7CE0C2"/>
    <w:rsid w:val="2FFAF0CB"/>
    <w:rsid w:val="30369941"/>
    <w:rsid w:val="30F41066"/>
    <w:rsid w:val="31D269A2"/>
    <w:rsid w:val="325584A5"/>
    <w:rsid w:val="328FE0C7"/>
    <w:rsid w:val="32CD6E12"/>
    <w:rsid w:val="336E3A03"/>
    <w:rsid w:val="33DB52A0"/>
    <w:rsid w:val="34627AD0"/>
    <w:rsid w:val="350BBA42"/>
    <w:rsid w:val="366A324F"/>
    <w:rsid w:val="36A5DAC5"/>
    <w:rsid w:val="3702C0DC"/>
    <w:rsid w:val="376351EA"/>
    <w:rsid w:val="38349951"/>
    <w:rsid w:val="39A1D311"/>
    <w:rsid w:val="39DD7B87"/>
    <w:rsid w:val="39FE5D9E"/>
    <w:rsid w:val="3A9AF2AC"/>
    <w:rsid w:val="3CE16159"/>
    <w:rsid w:val="3E7D31BA"/>
    <w:rsid w:val="3EF4B4A9"/>
    <w:rsid w:val="3F855904"/>
    <w:rsid w:val="4019021B"/>
    <w:rsid w:val="407F842E"/>
    <w:rsid w:val="4150273E"/>
    <w:rsid w:val="41ACE4F6"/>
    <w:rsid w:val="41B4D27C"/>
    <w:rsid w:val="42D191E8"/>
    <w:rsid w:val="4348B557"/>
    <w:rsid w:val="43782503"/>
    <w:rsid w:val="43AD2D6A"/>
    <w:rsid w:val="445EB3A7"/>
    <w:rsid w:val="44E485B8"/>
    <w:rsid w:val="451C6F88"/>
    <w:rsid w:val="45EBEF68"/>
    <w:rsid w:val="45F2B486"/>
    <w:rsid w:val="474C32FF"/>
    <w:rsid w:val="48241400"/>
    <w:rsid w:val="48D8276E"/>
    <w:rsid w:val="49BFE461"/>
    <w:rsid w:val="4AFD23BA"/>
    <w:rsid w:val="4BB83F4F"/>
    <w:rsid w:val="4BBFA8B5"/>
    <w:rsid w:val="4BE57A3A"/>
    <w:rsid w:val="4C9C7BA8"/>
    <w:rsid w:val="4CAE0300"/>
    <w:rsid w:val="4CF78523"/>
    <w:rsid w:val="4FB1524A"/>
    <w:rsid w:val="4FCA9AB2"/>
    <w:rsid w:val="502F25E5"/>
    <w:rsid w:val="504D11FF"/>
    <w:rsid w:val="50D872FA"/>
    <w:rsid w:val="51CAF646"/>
    <w:rsid w:val="522780D3"/>
    <w:rsid w:val="5366C6A7"/>
    <w:rsid w:val="539EB077"/>
    <w:rsid w:val="53B3AA21"/>
    <w:rsid w:val="53E9EBC5"/>
    <w:rsid w:val="5484C36D"/>
    <w:rsid w:val="55029708"/>
    <w:rsid w:val="59F54B41"/>
    <w:rsid w:val="5B80AC63"/>
    <w:rsid w:val="5BE275A7"/>
    <w:rsid w:val="5BE7C7E4"/>
    <w:rsid w:val="5C8FD552"/>
    <w:rsid w:val="5D4592BD"/>
    <w:rsid w:val="5D7E4608"/>
    <w:rsid w:val="5DC8921C"/>
    <w:rsid w:val="5E36E200"/>
    <w:rsid w:val="5F8413E4"/>
    <w:rsid w:val="5FC77614"/>
    <w:rsid w:val="601AE67B"/>
    <w:rsid w:val="604549AF"/>
    <w:rsid w:val="60A1D43C"/>
    <w:rsid w:val="60D1DAAD"/>
    <w:rsid w:val="612D1195"/>
    <w:rsid w:val="61E11A10"/>
    <w:rsid w:val="621903E0"/>
    <w:rsid w:val="62E91C08"/>
    <w:rsid w:val="62FF16D6"/>
    <w:rsid w:val="637CEA71"/>
    <w:rsid w:val="63B4D441"/>
    <w:rsid w:val="63D974FE"/>
    <w:rsid w:val="63E34732"/>
    <w:rsid w:val="649D7864"/>
    <w:rsid w:val="64AC2F37"/>
    <w:rsid w:val="6518BAD2"/>
    <w:rsid w:val="659C2195"/>
    <w:rsid w:val="659F51A5"/>
    <w:rsid w:val="696E585A"/>
    <w:rsid w:val="69EEA6AE"/>
    <w:rsid w:val="6B0BBCDF"/>
    <w:rsid w:val="6B34B819"/>
    <w:rsid w:val="6D805744"/>
    <w:rsid w:val="6D9C5758"/>
    <w:rsid w:val="6E49B703"/>
    <w:rsid w:val="6EBC1DA6"/>
    <w:rsid w:val="6FF7280A"/>
    <w:rsid w:val="716DF1DF"/>
    <w:rsid w:val="71725343"/>
    <w:rsid w:val="71F94F6C"/>
    <w:rsid w:val="72B67449"/>
    <w:rsid w:val="7373AD21"/>
    <w:rsid w:val="7410EB19"/>
    <w:rsid w:val="742888E0"/>
    <w:rsid w:val="750D7234"/>
    <w:rsid w:val="768AB7F3"/>
    <w:rsid w:val="77A54993"/>
    <w:rsid w:val="77E8ABC3"/>
    <w:rsid w:val="78601D78"/>
    <w:rsid w:val="7910C1F8"/>
    <w:rsid w:val="79847C24"/>
    <w:rsid w:val="7994F41A"/>
    <w:rsid w:val="79B32951"/>
    <w:rsid w:val="7AA2D8A8"/>
    <w:rsid w:val="7AFBABC8"/>
    <w:rsid w:val="7B283A0B"/>
    <w:rsid w:val="7DC92A97"/>
    <w:rsid w:val="7E57ED47"/>
    <w:rsid w:val="7EE46F67"/>
    <w:rsid w:val="7F83A111"/>
    <w:rsid w:val="7FCF1CEB"/>
    <w:rsid w:val="7FF3B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088BA0"/>
  <w15:chartTrackingRefBased/>
  <w15:docId w15:val="{B9B46CD0-0187-4153-B550-22380845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8104A9"/>
    <w:pPr>
      <w:spacing w:after="0" w:line="240" w:lineRule="auto"/>
    </w:pPr>
  </w:style>
  <w:style w:type="paragraph" w:styleId="Header">
    <w:name w:val="header"/>
    <w:basedOn w:val="Normal"/>
    <w:link w:val="HeaderChar"/>
    <w:uiPriority w:val="99"/>
    <w:unhideWhenUsed/>
    <w:rsid w:val="00851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61C"/>
  </w:style>
  <w:style w:type="paragraph" w:styleId="Footer">
    <w:name w:val="footer"/>
    <w:basedOn w:val="Normal"/>
    <w:link w:val="FooterChar"/>
    <w:uiPriority w:val="99"/>
    <w:unhideWhenUsed/>
    <w:rsid w:val="00851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61C"/>
  </w:style>
  <w:style w:type="table" w:styleId="TableGrid">
    <w:name w:val="Table Grid"/>
    <w:basedOn w:val="TableNormal"/>
    <w:uiPriority w:val="39"/>
    <w:rsid w:val="00F0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6F"/>
    <w:rPr>
      <w:rFonts w:ascii="Segoe UI" w:hAnsi="Segoe UI" w:cs="Segoe UI"/>
      <w:sz w:val="18"/>
      <w:szCs w:val="18"/>
    </w:rPr>
  </w:style>
  <w:style w:type="paragraph" w:styleId="EndnoteText">
    <w:name w:val="endnote text"/>
    <w:basedOn w:val="Normal"/>
    <w:link w:val="EndnoteTextChar"/>
    <w:uiPriority w:val="99"/>
    <w:semiHidden/>
    <w:unhideWhenUsed/>
    <w:rsid w:val="003A0C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0C08"/>
    <w:rPr>
      <w:sz w:val="20"/>
      <w:szCs w:val="20"/>
    </w:rPr>
  </w:style>
  <w:style w:type="character" w:styleId="EndnoteReference">
    <w:name w:val="endnote reference"/>
    <w:basedOn w:val="DefaultParagraphFont"/>
    <w:uiPriority w:val="99"/>
    <w:semiHidden/>
    <w:unhideWhenUsed/>
    <w:rsid w:val="003A0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5a413c-f579-46d4-8bdd-cd50f1f7b0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01B9568911642B2898F8A4F24F8BC" ma:contentTypeVersion="16" ma:contentTypeDescription="Create a new document." ma:contentTypeScope="" ma:versionID="a57a0fc94d3ca3d4ec430db259b4ffe5">
  <xsd:schema xmlns:xsd="http://www.w3.org/2001/XMLSchema" xmlns:xs="http://www.w3.org/2001/XMLSchema" xmlns:p="http://schemas.microsoft.com/office/2006/metadata/properties" xmlns:ns3="d45a413c-f579-46d4-8bdd-cd50f1f7b0ae" xmlns:ns4="9c1504be-771d-49aa-93fb-2e7312b28c53" targetNamespace="http://schemas.microsoft.com/office/2006/metadata/properties" ma:root="true" ma:fieldsID="826b839070c4c7deaa7b76a8632d6c9a" ns3:_="" ns4:_="">
    <xsd:import namespace="d45a413c-f579-46d4-8bdd-cd50f1f7b0ae"/>
    <xsd:import namespace="9c1504be-771d-49aa-93fb-2e7312b28c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activity"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a413c-f579-46d4-8bdd-cd50f1f7b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1504be-771d-49aa-93fb-2e7312b28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EB3B-38C4-4AF2-91D8-EF61BAB40720}">
  <ds:schemaRefs>
    <ds:schemaRef ds:uri="http://schemas.microsoft.com/office/infopath/2007/PartnerControls"/>
    <ds:schemaRef ds:uri="d45a413c-f579-46d4-8bdd-cd50f1f7b0a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c1504be-771d-49aa-93fb-2e7312b28c53"/>
    <ds:schemaRef ds:uri="http://www.w3.org/XML/1998/namespace"/>
    <ds:schemaRef ds:uri="http://purl.org/dc/dcmitype/"/>
  </ds:schemaRefs>
</ds:datastoreItem>
</file>

<file path=customXml/itemProps2.xml><?xml version="1.0" encoding="utf-8"?>
<ds:datastoreItem xmlns:ds="http://schemas.openxmlformats.org/officeDocument/2006/customXml" ds:itemID="{4ECA0B6E-E8C3-4E48-A749-4DD0F86969F6}">
  <ds:schemaRefs>
    <ds:schemaRef ds:uri="http://schemas.microsoft.com/sharepoint/v3/contenttype/forms"/>
  </ds:schemaRefs>
</ds:datastoreItem>
</file>

<file path=customXml/itemProps3.xml><?xml version="1.0" encoding="utf-8"?>
<ds:datastoreItem xmlns:ds="http://schemas.openxmlformats.org/officeDocument/2006/customXml" ds:itemID="{7F921C96-C8D4-4A51-A225-573EFB07E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a413c-f579-46d4-8bdd-cd50f1f7b0ae"/>
    <ds:schemaRef ds:uri="9c1504be-771d-49aa-93fb-2e7312b28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8F915-0265-47C1-9631-ACDBEAC4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Coller</dc:creator>
  <cp:keywords/>
  <dc:description/>
  <cp:lastModifiedBy>Claire M Berardini</cp:lastModifiedBy>
  <cp:revision>2</cp:revision>
  <cp:lastPrinted>2023-12-07T16:38:00Z</cp:lastPrinted>
  <dcterms:created xsi:type="dcterms:W3CDTF">2024-03-19T20:51:00Z</dcterms:created>
  <dcterms:modified xsi:type="dcterms:W3CDTF">2024-03-19T20:51:00Z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0x010100BCD01B9568911642B2898F8A4F24F8BC</vt:lpwstr>
  </property>
</Properties>
</file>