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2AD0" w14:textId="77777777" w:rsidR="00DA0141" w:rsidRPr="00A83EC7" w:rsidRDefault="00291FF7" w:rsidP="00DA0141">
      <w:pPr>
        <w:pStyle w:val="BodyTextIndent"/>
        <w:rPr>
          <w:b w:val="0"/>
          <w:bCs w:val="0"/>
          <w:u w:val="none"/>
        </w:rPr>
      </w:pPr>
      <w:r w:rsidRPr="00A83EC7">
        <w:rPr>
          <w:u w:val="none"/>
        </w:rPr>
        <w:t>3356-</w:t>
      </w:r>
      <w:r w:rsidR="00DA0141" w:rsidRPr="00A83EC7">
        <w:rPr>
          <w:u w:val="none"/>
        </w:rPr>
        <w:t>7-3</w:t>
      </w:r>
      <w:r w:rsidR="003A49F6" w:rsidRPr="00A83EC7">
        <w:rPr>
          <w:u w:val="none"/>
        </w:rPr>
        <w:t>4</w:t>
      </w:r>
      <w:r w:rsidR="00DA0141" w:rsidRPr="00A83EC7">
        <w:rPr>
          <w:u w:val="none"/>
        </w:rPr>
        <w:tab/>
      </w:r>
      <w:r w:rsidR="003A49F6" w:rsidRPr="00A83EC7">
        <w:rPr>
          <w:u w:val="none"/>
        </w:rPr>
        <w:t xml:space="preserve">Outside </w:t>
      </w:r>
      <w:r w:rsidR="00DA0141" w:rsidRPr="00A83EC7">
        <w:rPr>
          <w:u w:val="none"/>
        </w:rPr>
        <w:t xml:space="preserve">consulting </w:t>
      </w:r>
      <w:r w:rsidR="006D74AC" w:rsidRPr="00A83EC7">
        <w:rPr>
          <w:u w:val="none"/>
        </w:rPr>
        <w:t>services/employment by</w:t>
      </w:r>
      <w:r w:rsidR="00DA0141" w:rsidRPr="00A83EC7">
        <w:rPr>
          <w:u w:val="none"/>
        </w:rPr>
        <w:t xml:space="preserve"> </w:t>
      </w:r>
      <w:r w:rsidR="00CD3A60" w:rsidRPr="00A83EC7">
        <w:rPr>
          <w:u w:val="none"/>
        </w:rPr>
        <w:t>full-time university employees</w:t>
      </w:r>
      <w:r w:rsidR="00DA0141" w:rsidRPr="00A83EC7">
        <w:rPr>
          <w:u w:val="none"/>
        </w:rPr>
        <w:t xml:space="preserve">.   </w:t>
      </w:r>
    </w:p>
    <w:p w14:paraId="4F256E37" w14:textId="77777777" w:rsidR="00F17DF3" w:rsidRPr="00A83EC7" w:rsidRDefault="00F17DF3" w:rsidP="00F17DF3">
      <w:pPr>
        <w:tabs>
          <w:tab w:val="left" w:pos="7200"/>
        </w:tabs>
        <w:spacing w:line="276" w:lineRule="auto"/>
      </w:pPr>
    </w:p>
    <w:p w14:paraId="6A02092C" w14:textId="77777777" w:rsidR="00F17DF3" w:rsidRPr="00A83EC7" w:rsidRDefault="00F17DF3" w:rsidP="00F17DF3">
      <w:pPr>
        <w:tabs>
          <w:tab w:val="left" w:pos="3060"/>
          <w:tab w:val="left" w:pos="7200"/>
        </w:tabs>
        <w:spacing w:line="276" w:lineRule="auto"/>
      </w:pPr>
      <w:r w:rsidRPr="00A83EC7">
        <w:t>Responsible Division/Office:</w:t>
      </w:r>
      <w:r w:rsidRPr="00A83EC7">
        <w:tab/>
      </w:r>
      <w:r w:rsidR="006D74AC" w:rsidRPr="00A83EC7">
        <w:t xml:space="preserve">Legal Affairs and </w:t>
      </w:r>
      <w:r w:rsidRPr="00A83EC7">
        <w:t>Human Resources</w:t>
      </w:r>
      <w:r w:rsidRPr="00A83EC7">
        <w:tab/>
      </w:r>
    </w:p>
    <w:p w14:paraId="6B26CAFA" w14:textId="53BBB60C" w:rsidR="00F17DF3" w:rsidRPr="00A83EC7" w:rsidRDefault="00F17DF3" w:rsidP="00F17DF3">
      <w:pPr>
        <w:tabs>
          <w:tab w:val="left" w:pos="3060"/>
          <w:tab w:val="left" w:pos="7200"/>
        </w:tabs>
        <w:spacing w:line="276" w:lineRule="auto"/>
      </w:pPr>
      <w:r w:rsidRPr="00A83EC7">
        <w:t>Responsible Officer:</w:t>
      </w:r>
      <w:r w:rsidRPr="00A83EC7">
        <w:tab/>
        <w:t xml:space="preserve">VP for </w:t>
      </w:r>
      <w:r w:rsidR="006D74AC" w:rsidRPr="00A83EC7">
        <w:t xml:space="preserve">Legal Affairs and </w:t>
      </w:r>
      <w:r w:rsidR="00893B64" w:rsidRPr="00CD3F15">
        <w:t xml:space="preserve">VP for </w:t>
      </w:r>
      <w:r w:rsidR="006D74AC" w:rsidRPr="00A83EC7">
        <w:t xml:space="preserve">Human </w:t>
      </w:r>
      <w:r w:rsidR="00910343">
        <w:tab/>
      </w:r>
      <w:r w:rsidR="006D74AC" w:rsidRPr="00A83EC7">
        <w:t>Resources</w:t>
      </w:r>
    </w:p>
    <w:p w14:paraId="4A45CB89" w14:textId="77777777" w:rsidR="00F17DF3" w:rsidRPr="00A83EC7" w:rsidRDefault="00F17DF3" w:rsidP="00F17DF3">
      <w:pPr>
        <w:tabs>
          <w:tab w:val="left" w:pos="3060"/>
          <w:tab w:val="left" w:pos="7200"/>
        </w:tabs>
        <w:spacing w:line="276" w:lineRule="auto"/>
      </w:pPr>
      <w:r w:rsidRPr="00A83EC7">
        <w:t>Revision History:</w:t>
      </w:r>
      <w:r w:rsidRPr="00A83EC7">
        <w:tab/>
        <w:t>April 1999; December 2013</w:t>
      </w:r>
      <w:r w:rsidR="006D74AC" w:rsidRPr="00A83EC7">
        <w:t>; September 2019</w:t>
      </w:r>
      <w:r w:rsidR="000D76F6" w:rsidRPr="00A83EC7">
        <w:t>;</w:t>
      </w:r>
    </w:p>
    <w:p w14:paraId="729E2434" w14:textId="20F26891" w:rsidR="000D76F6" w:rsidRPr="00F64D7E" w:rsidRDefault="000D76F6" w:rsidP="00F17DF3">
      <w:pPr>
        <w:tabs>
          <w:tab w:val="left" w:pos="3060"/>
          <w:tab w:val="left" w:pos="7200"/>
        </w:tabs>
        <w:spacing w:line="276" w:lineRule="auto"/>
      </w:pPr>
      <w:r w:rsidRPr="00A83EC7">
        <w:tab/>
        <w:t>December 2019</w:t>
      </w:r>
      <w:r w:rsidR="00A32E93" w:rsidRPr="00A83EC7">
        <w:t>; September 2022</w:t>
      </w:r>
      <w:r w:rsidR="00910343" w:rsidRPr="00F64D7E">
        <w:t xml:space="preserve">; December </w:t>
      </w:r>
      <w:r w:rsidR="00910343" w:rsidRPr="00F64D7E">
        <w:tab/>
        <w:t>2025</w:t>
      </w:r>
    </w:p>
    <w:p w14:paraId="37DFCC23" w14:textId="77777777" w:rsidR="00F17DF3" w:rsidRPr="00F64D7E" w:rsidRDefault="00F17DF3" w:rsidP="00F17DF3">
      <w:pPr>
        <w:tabs>
          <w:tab w:val="left" w:pos="3060"/>
          <w:tab w:val="left" w:pos="7200"/>
        </w:tabs>
        <w:spacing w:line="276" w:lineRule="auto"/>
      </w:pPr>
      <w:r w:rsidRPr="00F64D7E">
        <w:t>Board Committee:</w:t>
      </w:r>
      <w:r w:rsidRPr="00F64D7E">
        <w:tab/>
        <w:t>University Affairs</w:t>
      </w:r>
    </w:p>
    <w:p w14:paraId="1FA72E43" w14:textId="72B29D88" w:rsidR="00F17DF3" w:rsidRPr="00F64D7E" w:rsidRDefault="00F17DF3" w:rsidP="00F17DF3">
      <w:pPr>
        <w:tabs>
          <w:tab w:val="left" w:pos="3060"/>
          <w:tab w:val="left" w:pos="7200"/>
        </w:tabs>
        <w:spacing w:line="276" w:lineRule="auto"/>
      </w:pPr>
      <w:r w:rsidRPr="00F64D7E">
        <w:rPr>
          <w:b/>
        </w:rPr>
        <w:t>Effective Date:</w:t>
      </w:r>
      <w:r w:rsidRPr="00F64D7E">
        <w:tab/>
      </w:r>
      <w:r w:rsidR="00910343" w:rsidRPr="00F64D7E">
        <w:rPr>
          <w:b/>
        </w:rPr>
        <w:t>December 11, 2025</w:t>
      </w:r>
    </w:p>
    <w:p w14:paraId="6BA6881E" w14:textId="78ED9E8F" w:rsidR="006D74AC" w:rsidRPr="00F64D7E" w:rsidRDefault="00F17DF3" w:rsidP="006D74AC">
      <w:pPr>
        <w:tabs>
          <w:tab w:val="left" w:pos="3060"/>
          <w:tab w:val="left" w:pos="7200"/>
        </w:tabs>
      </w:pPr>
      <w:r w:rsidRPr="00F64D7E">
        <w:t>Next Review:</w:t>
      </w:r>
      <w:r w:rsidRPr="00F64D7E">
        <w:tab/>
      </w:r>
      <w:r w:rsidR="00910343" w:rsidRPr="00F64D7E">
        <w:t>2030</w:t>
      </w:r>
    </w:p>
    <w:p w14:paraId="08A49841" w14:textId="265CFBFC" w:rsidR="00A83EC7" w:rsidRPr="002C3C30" w:rsidRDefault="00A83EC7" w:rsidP="002C3C30">
      <w:pPr>
        <w:tabs>
          <w:tab w:val="left" w:pos="3060"/>
          <w:tab w:val="left" w:pos="7200"/>
        </w:tabs>
        <w:rPr>
          <w:b/>
          <w:u w:val="single"/>
        </w:rPr>
      </w:pPr>
      <w:r w:rsidRPr="00F17DF3">
        <w:rPr>
          <w:b/>
          <w:u w:val="single"/>
        </w:rPr>
        <w:tab/>
      </w:r>
      <w:r w:rsidRPr="00F17DF3">
        <w:rPr>
          <w:b/>
          <w:u w:val="single"/>
        </w:rPr>
        <w:tab/>
      </w:r>
    </w:p>
    <w:p w14:paraId="68FF3A29" w14:textId="3D02D736" w:rsidR="006D74AC" w:rsidRPr="00F64D7E" w:rsidRDefault="006D74AC" w:rsidP="002C3C30">
      <w:pPr>
        <w:pStyle w:val="BodyTextIndent"/>
        <w:spacing w:before="240" w:after="240" w:line="276" w:lineRule="auto"/>
        <w:ind w:left="720" w:hanging="720"/>
        <w:rPr>
          <w:b w:val="0"/>
          <w:bCs w:val="0"/>
          <w:u w:val="none"/>
        </w:rPr>
      </w:pPr>
      <w:r w:rsidRPr="00F64D7E">
        <w:rPr>
          <w:b w:val="0"/>
          <w:bCs w:val="0"/>
          <w:u w:val="none"/>
        </w:rPr>
        <w:t>(A)</w:t>
      </w:r>
      <w:r w:rsidRPr="00F64D7E">
        <w:rPr>
          <w:b w:val="0"/>
          <w:bCs w:val="0"/>
          <w:u w:val="none"/>
        </w:rPr>
        <w:tab/>
        <w:t xml:space="preserve">Policy statement.  Youngstown state university (university) </w:t>
      </w:r>
      <w:r w:rsidR="000D76F6" w:rsidRPr="00F64D7E">
        <w:rPr>
          <w:b w:val="0"/>
          <w:bCs w:val="0"/>
          <w:u w:val="none"/>
        </w:rPr>
        <w:t xml:space="preserve">employees </w:t>
      </w:r>
      <w:r w:rsidRPr="00F64D7E">
        <w:rPr>
          <w:b w:val="0"/>
          <w:bCs w:val="0"/>
          <w:u w:val="none"/>
        </w:rPr>
        <w:t xml:space="preserve">are responsible for meeting the expectations and responsibilities of their positions with the university.  At the same time, the university recognizes that </w:t>
      </w:r>
      <w:r w:rsidR="000D76F6" w:rsidRPr="00F64D7E">
        <w:rPr>
          <w:b w:val="0"/>
          <w:bCs w:val="0"/>
          <w:u w:val="none"/>
        </w:rPr>
        <w:t>employees</w:t>
      </w:r>
      <w:r w:rsidRPr="00F64D7E">
        <w:rPr>
          <w:b w:val="0"/>
          <w:bCs w:val="0"/>
          <w:u w:val="none"/>
        </w:rPr>
        <w:t xml:space="preserve">, the university, and the community can benefit from </w:t>
      </w:r>
      <w:r w:rsidR="000D76F6" w:rsidRPr="00F64D7E">
        <w:rPr>
          <w:b w:val="0"/>
          <w:bCs w:val="0"/>
          <w:u w:val="none"/>
        </w:rPr>
        <w:t xml:space="preserve">employee </w:t>
      </w:r>
      <w:r w:rsidRPr="00F64D7E">
        <w:rPr>
          <w:b w:val="0"/>
          <w:bCs w:val="0"/>
          <w:u w:val="none"/>
        </w:rPr>
        <w:t xml:space="preserve">involvement in and support of outside organizations and industry.  </w:t>
      </w:r>
    </w:p>
    <w:p w14:paraId="67EE22F9" w14:textId="23A7662B" w:rsidR="006D74AC" w:rsidRPr="00F64D7E" w:rsidRDefault="006D74AC" w:rsidP="002C3C30">
      <w:pPr>
        <w:pStyle w:val="BodyTextIndent2"/>
        <w:spacing w:before="240" w:after="240" w:line="276" w:lineRule="auto"/>
      </w:pPr>
      <w:r w:rsidRPr="00F64D7E">
        <w:t>(B)</w:t>
      </w:r>
      <w:r w:rsidRPr="00F64D7E">
        <w:tab/>
        <w:t xml:space="preserve">Purpose.  To establish guidelines which allow </w:t>
      </w:r>
      <w:r w:rsidR="000D76F6" w:rsidRPr="00F64D7E">
        <w:t xml:space="preserve">employees </w:t>
      </w:r>
      <w:r w:rsidRPr="00F64D7E">
        <w:t>to engage in outside consulting/employment activities while continuing to fulfill their work responsibilities and commitment to the university.</w:t>
      </w:r>
    </w:p>
    <w:p w14:paraId="3A8E1082" w14:textId="03667245" w:rsidR="006D74AC" w:rsidRPr="00F64D7E" w:rsidRDefault="006D74AC" w:rsidP="002C3C30">
      <w:pPr>
        <w:pStyle w:val="BodyTextIndent2"/>
        <w:spacing w:before="240" w:after="240" w:line="276" w:lineRule="auto"/>
      </w:pPr>
      <w:r w:rsidRPr="00F64D7E">
        <w:t>(C)</w:t>
      </w:r>
      <w:r w:rsidRPr="00F64D7E">
        <w:tab/>
        <w:t xml:space="preserve">Scope.  This policy applies to all </w:t>
      </w:r>
      <w:r w:rsidR="000D76F6" w:rsidRPr="00F64D7E">
        <w:t>full-time university employees, i.e</w:t>
      </w:r>
      <w:r w:rsidR="001F7171" w:rsidRPr="00F64D7E">
        <w:t>.</w:t>
      </w:r>
      <w:r w:rsidR="000D76F6" w:rsidRPr="00F64D7E">
        <w:t xml:space="preserve">, </w:t>
      </w:r>
      <w:r w:rsidRPr="00F64D7E">
        <w:t>professional/administrative staff, deans and chairpersons</w:t>
      </w:r>
      <w:r w:rsidR="000D76F6" w:rsidRPr="00F64D7E">
        <w:t>, classified staff, and all faculty with administrative/supervisory duties</w:t>
      </w:r>
      <w:r w:rsidRPr="00F64D7E">
        <w:t xml:space="preserve">.  </w:t>
      </w:r>
      <w:r w:rsidR="000D76F6" w:rsidRPr="00F64D7E">
        <w:t xml:space="preserve">This policy does not apply to faculty covered by </w:t>
      </w:r>
      <w:r w:rsidR="00B66589" w:rsidRPr="00F64D7E">
        <w:t xml:space="preserve">rule </w:t>
      </w:r>
      <w:r w:rsidR="000D76F6" w:rsidRPr="00F64D7E">
        <w:t>3356-7-18</w:t>
      </w:r>
      <w:r w:rsidR="00B66589" w:rsidRPr="00F64D7E">
        <w:t xml:space="preserve"> of the Administrative Code</w:t>
      </w:r>
      <w:r w:rsidR="000D76F6" w:rsidRPr="00F64D7E">
        <w:t>, “Outside consulting/employment services – full-time faculty</w:t>
      </w:r>
      <w:r w:rsidR="002C446A" w:rsidRPr="00F64D7E">
        <w:t>.</w:t>
      </w:r>
      <w:r w:rsidR="00CF2646" w:rsidRPr="00F64D7E">
        <w:t>”</w:t>
      </w:r>
    </w:p>
    <w:p w14:paraId="0CCCBA1A" w14:textId="121B2DC4" w:rsidR="006D74AC" w:rsidRPr="00F64D7E" w:rsidRDefault="006D74AC" w:rsidP="002C3C30">
      <w:pPr>
        <w:spacing w:before="240" w:after="240" w:line="276" w:lineRule="auto"/>
        <w:ind w:left="720" w:hanging="720"/>
      </w:pPr>
      <w:r w:rsidRPr="00F64D7E">
        <w:t>(D)</w:t>
      </w:r>
      <w:r w:rsidRPr="00F64D7E">
        <w:tab/>
        <w:t>Definition.  In general, “outside consulting services or employment” is</w:t>
      </w:r>
      <w:r w:rsidR="00C91C4F" w:rsidRPr="00F64D7E">
        <w:t xml:space="preserve"> </w:t>
      </w:r>
      <w:r w:rsidRPr="00F64D7E">
        <w:t xml:space="preserve">defined as professional activity related to a person’s field or discipline, where a </w:t>
      </w:r>
      <w:r w:rsidR="000D76F6" w:rsidRPr="00F64D7E">
        <w:t>fee-for-service or equivalent relationship with a third party exists</w:t>
      </w:r>
      <w:r w:rsidRPr="00F64D7E">
        <w:t xml:space="preserve">. </w:t>
      </w:r>
    </w:p>
    <w:p w14:paraId="60C5DB29" w14:textId="3CB06C09" w:rsidR="006D74AC" w:rsidRPr="00F64D7E" w:rsidRDefault="006D74AC" w:rsidP="002C3C30">
      <w:pPr>
        <w:spacing w:before="240" w:after="240" w:line="276" w:lineRule="auto"/>
        <w:ind w:left="720" w:hanging="720"/>
      </w:pPr>
      <w:r w:rsidRPr="00F64D7E">
        <w:t>(E)</w:t>
      </w:r>
      <w:r w:rsidRPr="00F64D7E">
        <w:tab/>
        <w:t xml:space="preserve">Parameters.  </w:t>
      </w:r>
    </w:p>
    <w:p w14:paraId="307B0F60" w14:textId="77777777" w:rsidR="006F0BB1" w:rsidRPr="00F64D7E" w:rsidRDefault="006D74AC" w:rsidP="002C3C30">
      <w:pPr>
        <w:pStyle w:val="Default"/>
        <w:spacing w:before="240" w:after="240" w:line="276" w:lineRule="auto"/>
        <w:ind w:left="1440" w:hanging="720"/>
      </w:pPr>
      <w:r w:rsidRPr="00F64D7E">
        <w:t>(1)</w:t>
      </w:r>
      <w:r w:rsidRPr="00F64D7E">
        <w:tab/>
      </w:r>
      <w:r w:rsidR="00497714" w:rsidRPr="00F64D7E">
        <w:t xml:space="preserve">Conflict of interest (Ohio ethics laws and related statutes):  </w:t>
      </w:r>
    </w:p>
    <w:p w14:paraId="38BC5516" w14:textId="219ED0DB" w:rsidR="000D76F6" w:rsidRPr="00F64D7E" w:rsidRDefault="006F0BB1" w:rsidP="002C3C30">
      <w:pPr>
        <w:pStyle w:val="Default"/>
        <w:spacing w:before="240" w:after="240" w:line="276" w:lineRule="auto"/>
        <w:ind w:left="1440" w:hanging="720"/>
      </w:pPr>
      <w:r w:rsidRPr="00F64D7E">
        <w:lastRenderedPageBreak/>
        <w:tab/>
      </w:r>
      <w:r w:rsidR="006D74AC" w:rsidRPr="00F64D7E">
        <w:t xml:space="preserve">All </w:t>
      </w:r>
      <w:r w:rsidR="000D76F6" w:rsidRPr="00F64D7E">
        <w:t>employees subject to this policy</w:t>
      </w:r>
      <w:r w:rsidR="006D74AC" w:rsidRPr="00F64D7E">
        <w:t xml:space="preserve"> are covered by </w:t>
      </w:r>
      <w:r w:rsidR="000D76F6" w:rsidRPr="00F64D7E">
        <w:t xml:space="preserve">Ohio ethics laws in </w:t>
      </w:r>
      <w:r w:rsidR="006D74AC" w:rsidRPr="00F64D7E">
        <w:t>Chapters 102</w:t>
      </w:r>
      <w:r w:rsidR="00876BF6" w:rsidRPr="00F64D7E">
        <w:t>.</w:t>
      </w:r>
      <w:r w:rsidR="006D74AC" w:rsidRPr="00F64D7E">
        <w:t xml:space="preserve"> (</w:t>
      </w:r>
      <w:r w:rsidR="00EE7015" w:rsidRPr="00F64D7E">
        <w:t>e</w:t>
      </w:r>
      <w:r w:rsidR="006D74AC" w:rsidRPr="00F64D7E">
        <w:t>thics) and 2921</w:t>
      </w:r>
      <w:r w:rsidR="00876BF6" w:rsidRPr="00F64D7E">
        <w:t>.</w:t>
      </w:r>
      <w:r w:rsidR="006D74AC" w:rsidRPr="00F64D7E">
        <w:t xml:space="preserve"> (</w:t>
      </w:r>
      <w:r w:rsidR="00EE7015" w:rsidRPr="00F64D7E">
        <w:t>o</w:t>
      </w:r>
      <w:r w:rsidR="006D74AC" w:rsidRPr="00F64D7E">
        <w:t xml:space="preserve">ffenses </w:t>
      </w:r>
      <w:r w:rsidR="00EE7015" w:rsidRPr="00F64D7E">
        <w:t>a</w:t>
      </w:r>
      <w:r w:rsidR="006D74AC" w:rsidRPr="00F64D7E">
        <w:t xml:space="preserve">gainst </w:t>
      </w:r>
      <w:r w:rsidR="00EE7015" w:rsidRPr="00F64D7E">
        <w:t>j</w:t>
      </w:r>
      <w:r w:rsidR="006D74AC" w:rsidRPr="00F64D7E">
        <w:t xml:space="preserve">ustice and </w:t>
      </w:r>
      <w:r w:rsidR="00EE7015" w:rsidRPr="00F64D7E">
        <w:t>p</w:t>
      </w:r>
      <w:r w:rsidR="006D74AC" w:rsidRPr="00F64D7E">
        <w:t xml:space="preserve">ublic </w:t>
      </w:r>
      <w:r w:rsidR="00EE7015" w:rsidRPr="00F64D7E">
        <w:t>a</w:t>
      </w:r>
      <w:r w:rsidR="006D74AC" w:rsidRPr="00F64D7E">
        <w:t>dministration) of the Revised Code.</w:t>
      </w:r>
      <w:r w:rsidR="00876BF6" w:rsidRPr="00F64D7E">
        <w:t xml:space="preserve">  </w:t>
      </w:r>
    </w:p>
    <w:p w14:paraId="34131712" w14:textId="01C9753A" w:rsidR="00DC71A5" w:rsidRPr="00F64D7E" w:rsidRDefault="00DC71A5" w:rsidP="00F64D7E">
      <w:pPr>
        <w:pStyle w:val="Default"/>
        <w:spacing w:before="240" w:after="240" w:line="276" w:lineRule="auto"/>
        <w:ind w:left="1440"/>
      </w:pPr>
      <w:r w:rsidRPr="00F64D7E">
        <w:t>A conflict</w:t>
      </w:r>
      <w:r w:rsidR="0049069C" w:rsidRPr="00F64D7E">
        <w:t xml:space="preserve"> of interest typically exists when financial, professional, or oth</w:t>
      </w:r>
      <w:r w:rsidR="002901DD" w:rsidRPr="00F64D7E">
        <w:t>er</w:t>
      </w:r>
      <w:r w:rsidR="0049069C" w:rsidRPr="00F64D7E">
        <w:t xml:space="preserve"> personal considerations directly or indirectly affect or benefit, or have the appearance of affecting or benefiting, an employee or the employee’s family or business associates.  (See rule 3356-7-01 of the Administrative Code, “Conflicts of interest.”)</w:t>
      </w:r>
    </w:p>
    <w:p w14:paraId="689FFF9F" w14:textId="77777777" w:rsidR="00696D40" w:rsidRPr="00F64D7E" w:rsidRDefault="000D76F6" w:rsidP="002C3C30">
      <w:pPr>
        <w:pStyle w:val="Default"/>
        <w:spacing w:before="240" w:after="240" w:line="276" w:lineRule="auto"/>
        <w:ind w:left="1440" w:hanging="720"/>
      </w:pPr>
      <w:r w:rsidRPr="00F64D7E">
        <w:t>(2)</w:t>
      </w:r>
      <w:r w:rsidRPr="00F64D7E">
        <w:tab/>
      </w:r>
      <w:r w:rsidR="00FF6269" w:rsidRPr="00F64D7E">
        <w:t xml:space="preserve">Conflict </w:t>
      </w:r>
      <w:r w:rsidR="00696D40" w:rsidRPr="00F64D7E">
        <w:t>of commitment:</w:t>
      </w:r>
    </w:p>
    <w:p w14:paraId="2EFB4F63" w14:textId="77777777" w:rsidR="00696D40" w:rsidRPr="00F64D7E" w:rsidRDefault="00696D40" w:rsidP="002C3C30">
      <w:pPr>
        <w:pStyle w:val="Default"/>
        <w:spacing w:before="240" w:after="240" w:line="276" w:lineRule="auto"/>
        <w:ind w:left="1440" w:hanging="720"/>
      </w:pPr>
      <w:r w:rsidRPr="00F64D7E">
        <w:tab/>
        <w:t>Acceptance of an appointment at the university requires that the employee make a commitment to the university.</w:t>
      </w:r>
    </w:p>
    <w:p w14:paraId="0BAA85AA" w14:textId="18A7179E" w:rsidR="007B241C" w:rsidRPr="00F64D7E" w:rsidRDefault="00696D40" w:rsidP="002C3C30">
      <w:pPr>
        <w:pStyle w:val="Default"/>
        <w:spacing w:before="240" w:after="240" w:line="276" w:lineRule="auto"/>
        <w:ind w:left="1440" w:hanging="720"/>
      </w:pPr>
      <w:r w:rsidRPr="00F64D7E">
        <w:tab/>
        <w:t>Outside consulting services/employment should not conflict with the overriding commitment made to t</w:t>
      </w:r>
      <w:r w:rsidR="00B41DA5" w:rsidRPr="00F64D7E">
        <w:t xml:space="preserve">he </w:t>
      </w:r>
      <w:r w:rsidRPr="00F64D7E">
        <w:t>university.  A conflict of commitment typically exists when an employee engages in outside consulting services/employment, either paid or unpaid, that interferes with, or appears to have a potential to inter</w:t>
      </w:r>
      <w:r w:rsidR="00B41DA5" w:rsidRPr="00F64D7E">
        <w:t>f</w:t>
      </w:r>
      <w:r w:rsidRPr="00F64D7E">
        <w:t>ere with, the performance of university job duties and responsibilities.  Employees are expected to avoid any situation which</w:t>
      </w:r>
      <w:r w:rsidR="00974622">
        <w:t xml:space="preserve"> </w:t>
      </w:r>
      <w:r w:rsidRPr="00F64D7E">
        <w:t>compromises, or appears to compromise, the</w:t>
      </w:r>
      <w:r w:rsidR="004C1B5F" w:rsidRPr="00F64D7E">
        <w:t>ir loyalty to the university and commitment to their university responsibilities.  Ful-time appointments should be regarded as full-time employment responsibilities to the university.  All outside consulting services/employment, whether for compensation or otherwise, must not be performed at the expense of the individual’s primary responsibilities to the university.</w:t>
      </w:r>
    </w:p>
    <w:p w14:paraId="5641F565" w14:textId="423F224A" w:rsidR="006D74AC" w:rsidRPr="00F64D7E" w:rsidRDefault="007B241C" w:rsidP="002C3C30">
      <w:pPr>
        <w:pStyle w:val="Default"/>
        <w:spacing w:before="240" w:after="240" w:line="276" w:lineRule="auto"/>
        <w:ind w:left="1440" w:hanging="720"/>
      </w:pPr>
      <w:r w:rsidRPr="00F64D7E">
        <w:t>(3)</w:t>
      </w:r>
      <w:r w:rsidRPr="00F64D7E">
        <w:tab/>
      </w:r>
      <w:r w:rsidR="000D76F6" w:rsidRPr="00F64D7E">
        <w:t>Employees</w:t>
      </w:r>
      <w:r w:rsidR="006D74AC" w:rsidRPr="00F64D7E">
        <w:t xml:space="preserve"> providing consulting services should also refer to </w:t>
      </w:r>
      <w:r w:rsidR="00D057D7" w:rsidRPr="00F64D7E">
        <w:t xml:space="preserve">rules 3356-7-01, </w:t>
      </w:r>
      <w:r w:rsidR="0080474B" w:rsidRPr="00F64D7E">
        <w:t>3356-6-05</w:t>
      </w:r>
      <w:r w:rsidR="00D057D7" w:rsidRPr="00F64D7E">
        <w:t>, and 3356-4-19 of the Administrative Code</w:t>
      </w:r>
      <w:r w:rsidR="00EE7015" w:rsidRPr="00F64D7E">
        <w:t>,</w:t>
      </w:r>
      <w:r w:rsidR="006D74AC" w:rsidRPr="00F64D7E">
        <w:t xml:space="preserve"> </w:t>
      </w:r>
      <w:r w:rsidR="00EE7015" w:rsidRPr="00F64D7E">
        <w:t>“</w:t>
      </w:r>
      <w:r w:rsidR="006D74AC" w:rsidRPr="00F64D7E">
        <w:t>Conflicts of interest</w:t>
      </w:r>
      <w:r w:rsidR="00EE7015" w:rsidRPr="00F64D7E">
        <w:t>,”</w:t>
      </w:r>
      <w:r w:rsidR="006D74AC" w:rsidRPr="00F64D7E">
        <w:t xml:space="preserve"> </w:t>
      </w:r>
      <w:r w:rsidR="00EE7015" w:rsidRPr="00F64D7E">
        <w:t>“</w:t>
      </w:r>
      <w:r w:rsidR="006D74AC" w:rsidRPr="00F64D7E">
        <w:t>Licensing of university names and marks</w:t>
      </w:r>
      <w:r w:rsidR="00EE7015" w:rsidRPr="00F64D7E">
        <w:t>,”</w:t>
      </w:r>
      <w:r w:rsidR="006D74AC" w:rsidRPr="00F64D7E">
        <w:t xml:space="preserve"> and </w:t>
      </w:r>
      <w:r w:rsidR="00EE7015" w:rsidRPr="00F64D7E">
        <w:t>“</w:t>
      </w:r>
      <w:r w:rsidR="006D74AC" w:rsidRPr="00F64D7E">
        <w:t>Use of university equipment</w:t>
      </w:r>
      <w:r w:rsidR="002C446A" w:rsidRPr="00F64D7E">
        <w:t>.</w:t>
      </w:r>
      <w:r w:rsidR="00F20B29" w:rsidRPr="00F64D7E">
        <w:t>”</w:t>
      </w:r>
    </w:p>
    <w:p w14:paraId="2B5CCBAF" w14:textId="0552CCAC" w:rsidR="006D74AC" w:rsidRPr="00F64D7E" w:rsidRDefault="006D74AC" w:rsidP="002C3C30">
      <w:pPr>
        <w:pStyle w:val="Default"/>
        <w:spacing w:before="240" w:after="240" w:line="276" w:lineRule="auto"/>
        <w:ind w:left="1440" w:hanging="720"/>
      </w:pPr>
      <w:r w:rsidRPr="00F64D7E">
        <w:lastRenderedPageBreak/>
        <w:t>(</w:t>
      </w:r>
      <w:r w:rsidR="00CE70BA" w:rsidRPr="00F64D7E">
        <w:t>4</w:t>
      </w:r>
      <w:r w:rsidRPr="00F64D7E">
        <w:t>)</w:t>
      </w:r>
      <w:r w:rsidRPr="00F64D7E">
        <w:tab/>
        <w:t>Failure to adequately perform university responsibilities due to</w:t>
      </w:r>
      <w:r w:rsidR="00C91C4F" w:rsidRPr="00F64D7E">
        <w:t xml:space="preserve"> </w:t>
      </w:r>
      <w:r w:rsidRPr="00F64D7E">
        <w:t>involvement in outside consulting/employment is considered</w:t>
      </w:r>
      <w:r w:rsidR="00C91C4F" w:rsidRPr="00F64D7E">
        <w:t xml:space="preserve"> </w:t>
      </w:r>
      <w:r w:rsidRPr="00F64D7E">
        <w:t>neglect of duty and</w:t>
      </w:r>
      <w:r w:rsidR="00C91C4F" w:rsidRPr="00F64D7E">
        <w:t xml:space="preserve"> </w:t>
      </w:r>
      <w:r w:rsidRPr="00F64D7E">
        <w:t>may result in corrective action up to and including termination, regardless of</w:t>
      </w:r>
      <w:r w:rsidR="00C91C4F" w:rsidRPr="00F64D7E">
        <w:t xml:space="preserve"> </w:t>
      </w:r>
      <w:r w:rsidRPr="00F64D7E">
        <w:t>whether the activity has been</w:t>
      </w:r>
      <w:r w:rsidR="00C91C4F" w:rsidRPr="00F64D7E">
        <w:t xml:space="preserve"> </w:t>
      </w:r>
      <w:r w:rsidRPr="00F64D7E">
        <w:t xml:space="preserve">reported or approved. </w:t>
      </w:r>
    </w:p>
    <w:p w14:paraId="43B36E08" w14:textId="2B6D25D5" w:rsidR="006D74AC" w:rsidRPr="00F64D7E" w:rsidRDefault="006D74AC" w:rsidP="002C3C30">
      <w:pPr>
        <w:spacing w:before="240" w:after="240" w:line="276" w:lineRule="auto"/>
        <w:ind w:left="1440" w:hanging="720"/>
      </w:pPr>
      <w:r w:rsidRPr="00F64D7E">
        <w:t>(</w:t>
      </w:r>
      <w:r w:rsidR="00CE70BA" w:rsidRPr="00F64D7E">
        <w:t>5</w:t>
      </w:r>
      <w:r w:rsidRPr="00F64D7E">
        <w:t>)</w:t>
      </w:r>
      <w:r w:rsidRPr="00F64D7E">
        <w:tab/>
        <w:t>Any outside consulting services/employment should be performed</w:t>
      </w:r>
      <w:r w:rsidR="00C91C4F" w:rsidRPr="00F64D7E">
        <w:t xml:space="preserve"> </w:t>
      </w:r>
      <w:r w:rsidRPr="00F64D7E">
        <w:t xml:space="preserve">outside of </w:t>
      </w:r>
      <w:r w:rsidR="00CE70BA" w:rsidRPr="00F64D7E">
        <w:t>an employee</w:t>
      </w:r>
      <w:r w:rsidRPr="00F64D7E">
        <w:t>’s regular work schedule.  When this is</w:t>
      </w:r>
      <w:r w:rsidR="00C91C4F" w:rsidRPr="00F64D7E">
        <w:t xml:space="preserve"> </w:t>
      </w:r>
      <w:r w:rsidRPr="00F64D7E">
        <w:t>not</w:t>
      </w:r>
      <w:r w:rsidR="00C91C4F" w:rsidRPr="00F64D7E">
        <w:t xml:space="preserve"> </w:t>
      </w:r>
      <w:r w:rsidRPr="00F64D7E">
        <w:t xml:space="preserve">possible, the </w:t>
      </w:r>
      <w:r w:rsidR="00CE70BA" w:rsidRPr="00F64D7E">
        <w:t xml:space="preserve">employee </w:t>
      </w:r>
      <w:r w:rsidRPr="00F64D7E">
        <w:t>m</w:t>
      </w:r>
      <w:r w:rsidR="00CE70BA" w:rsidRPr="00F64D7E">
        <w:t>ust</w:t>
      </w:r>
      <w:r w:rsidRPr="00F64D7E">
        <w:t xml:space="preserve"> use accrued vacation or personal leave</w:t>
      </w:r>
      <w:r w:rsidR="00C91C4F" w:rsidRPr="00F64D7E">
        <w:t xml:space="preserve">, </w:t>
      </w:r>
      <w:r w:rsidRPr="00F64D7E">
        <w:t xml:space="preserve">provided such leave is approved in advance. </w:t>
      </w:r>
    </w:p>
    <w:p w14:paraId="359C3CA6" w14:textId="599F858D" w:rsidR="006D74AC" w:rsidRPr="00F64D7E" w:rsidRDefault="006D74AC" w:rsidP="002C3C30">
      <w:pPr>
        <w:spacing w:before="240" w:after="240" w:line="276" w:lineRule="auto"/>
        <w:ind w:left="1440" w:hanging="720"/>
      </w:pPr>
      <w:r w:rsidRPr="00F64D7E">
        <w:t>(</w:t>
      </w:r>
      <w:r w:rsidR="00CE70BA" w:rsidRPr="00F64D7E">
        <w:t>6</w:t>
      </w:r>
      <w:r w:rsidRPr="00F64D7E">
        <w:t>)</w:t>
      </w:r>
      <w:r w:rsidRPr="00F64D7E">
        <w:tab/>
        <w:t>University facilities, supplies, equipment, and resources, including</w:t>
      </w:r>
      <w:r w:rsidR="00C91C4F" w:rsidRPr="00F64D7E">
        <w:t xml:space="preserve"> </w:t>
      </w:r>
      <w:r w:rsidRPr="00F64D7E">
        <w:t>letterhead, the university name and logo (collectively referred to as</w:t>
      </w:r>
      <w:r w:rsidR="00C91C4F" w:rsidRPr="00F64D7E">
        <w:t xml:space="preserve"> </w:t>
      </w:r>
      <w:r w:rsidRPr="00F64D7E">
        <w:t>“resources”) may not be utilized when providing consulting</w:t>
      </w:r>
      <w:r w:rsidR="00C91C4F" w:rsidRPr="00F64D7E">
        <w:t xml:space="preserve"> </w:t>
      </w:r>
      <w:r w:rsidRPr="00F64D7E">
        <w:t>services/employment without the prior written approval of the vice</w:t>
      </w:r>
      <w:r w:rsidR="00C91C4F" w:rsidRPr="00F64D7E">
        <w:t xml:space="preserve"> </w:t>
      </w:r>
      <w:r w:rsidRPr="00F64D7E">
        <w:t xml:space="preserve">president for finance and </w:t>
      </w:r>
      <w:r w:rsidR="005D0C4B" w:rsidRPr="00F64D7E">
        <w:t xml:space="preserve">business operations </w:t>
      </w:r>
      <w:r w:rsidRPr="00F64D7E">
        <w:t>and the provost or appropriate</w:t>
      </w:r>
      <w:r w:rsidR="00C91C4F" w:rsidRPr="00F64D7E">
        <w:t xml:space="preserve"> </w:t>
      </w:r>
      <w:r w:rsidRPr="00F64D7E">
        <w:t>vice president and appropriate compensation for the</w:t>
      </w:r>
      <w:r w:rsidR="00C91C4F" w:rsidRPr="00F64D7E">
        <w:t xml:space="preserve"> </w:t>
      </w:r>
      <w:r w:rsidRPr="00F64D7E">
        <w:t>use.</w:t>
      </w:r>
      <w:r w:rsidR="00CE70BA" w:rsidRPr="00F64D7E">
        <w:t xml:space="preserve">  Approval for the use of university resources does not negate the university’s rights to and interest in discoveries, inventions, or patents pursuant to Ohio law.</w:t>
      </w:r>
      <w:r w:rsidRPr="00F64D7E">
        <w:t xml:space="preserve"> </w:t>
      </w:r>
    </w:p>
    <w:p w14:paraId="4309E5C1" w14:textId="70D00964" w:rsidR="006D74AC" w:rsidRPr="00F64D7E" w:rsidRDefault="006D74AC" w:rsidP="002C3C30">
      <w:pPr>
        <w:spacing w:before="240" w:after="240" w:line="276" w:lineRule="auto"/>
        <w:ind w:left="1440" w:hanging="720"/>
      </w:pPr>
      <w:r w:rsidRPr="00F64D7E">
        <w:t>(</w:t>
      </w:r>
      <w:r w:rsidR="00CE70BA" w:rsidRPr="00F64D7E">
        <w:t>7</w:t>
      </w:r>
      <w:r w:rsidRPr="00F64D7E">
        <w:t>)</w:t>
      </w:r>
      <w:r w:rsidRPr="00F64D7E">
        <w:tab/>
        <w:t>A</w:t>
      </w:r>
      <w:r w:rsidR="00CE70BA" w:rsidRPr="00F64D7E">
        <w:t>n</w:t>
      </w:r>
      <w:r w:rsidRPr="00F64D7E">
        <w:t xml:space="preserve"> </w:t>
      </w:r>
      <w:r w:rsidR="00CE70BA" w:rsidRPr="00F64D7E">
        <w:t xml:space="preserve">employee </w:t>
      </w:r>
      <w:r w:rsidRPr="00F64D7E">
        <w:t>may not use their affiliation with the university in</w:t>
      </w:r>
      <w:r w:rsidR="00C91C4F" w:rsidRPr="00F64D7E">
        <w:t xml:space="preserve"> </w:t>
      </w:r>
      <w:r w:rsidRPr="00F64D7E">
        <w:t>a manner that suggests university approval of or involvement with the</w:t>
      </w:r>
      <w:r w:rsidR="00C91C4F" w:rsidRPr="00F64D7E">
        <w:t xml:space="preserve"> </w:t>
      </w:r>
      <w:r w:rsidRPr="00F64D7E">
        <w:t>service/employment or any product, activity, purpose or</w:t>
      </w:r>
      <w:r w:rsidR="00C91C4F" w:rsidRPr="00F64D7E">
        <w:t xml:space="preserve"> </w:t>
      </w:r>
      <w:r w:rsidRPr="00F64D7E">
        <w:t>findings of the</w:t>
      </w:r>
      <w:r w:rsidR="00C91C4F" w:rsidRPr="00F64D7E">
        <w:t xml:space="preserve"> </w:t>
      </w:r>
      <w:r w:rsidRPr="00F64D7E">
        <w:t xml:space="preserve">service or work.  </w:t>
      </w:r>
    </w:p>
    <w:p w14:paraId="791E388D" w14:textId="0F7AAB64" w:rsidR="006D74AC" w:rsidRPr="00F64D7E" w:rsidRDefault="006D74AC" w:rsidP="002C3C30">
      <w:pPr>
        <w:spacing w:before="240" w:after="240" w:line="276" w:lineRule="auto"/>
        <w:ind w:left="720" w:hanging="720"/>
      </w:pPr>
      <w:r w:rsidRPr="00F64D7E">
        <w:t>(F)</w:t>
      </w:r>
      <w:r w:rsidRPr="00F64D7E">
        <w:tab/>
        <w:t xml:space="preserve">Procedures. </w:t>
      </w:r>
    </w:p>
    <w:p w14:paraId="34E03A59" w14:textId="05BAAB74" w:rsidR="006D74AC" w:rsidRPr="00F64D7E" w:rsidRDefault="006D74AC" w:rsidP="002C3C30">
      <w:pPr>
        <w:pStyle w:val="BodyTextIndent2"/>
        <w:spacing w:before="240" w:after="240" w:line="276" w:lineRule="auto"/>
        <w:ind w:left="1440"/>
      </w:pPr>
      <w:r w:rsidRPr="00F64D7E">
        <w:t>(1)</w:t>
      </w:r>
      <w:r w:rsidRPr="00F64D7E">
        <w:tab/>
        <w:t xml:space="preserve">All </w:t>
      </w:r>
      <w:r w:rsidR="00CE70BA" w:rsidRPr="00F64D7E">
        <w:t xml:space="preserve">full-time employees </w:t>
      </w:r>
      <w:r w:rsidRPr="00F64D7E">
        <w:t>engaged in outside</w:t>
      </w:r>
      <w:r w:rsidR="00C91C4F" w:rsidRPr="00F64D7E">
        <w:t xml:space="preserve"> </w:t>
      </w:r>
      <w:r w:rsidRPr="00F64D7E">
        <w:t>consulting/employment shall annually complete the outside</w:t>
      </w:r>
      <w:r w:rsidR="00C91C4F" w:rsidRPr="00F64D7E">
        <w:t xml:space="preserve"> </w:t>
      </w:r>
      <w:r w:rsidRPr="00F64D7E">
        <w:t xml:space="preserve">consulting/employment </w:t>
      </w:r>
      <w:r w:rsidR="00CE70BA" w:rsidRPr="00F64D7E">
        <w:t xml:space="preserve">disclosure </w:t>
      </w:r>
      <w:r w:rsidRPr="00F64D7E">
        <w:t>form</w:t>
      </w:r>
      <w:r w:rsidR="00D057D7" w:rsidRPr="00F64D7E">
        <w:t xml:space="preserve"> (form)</w:t>
      </w:r>
      <w:r w:rsidR="00395857" w:rsidRPr="00F64D7E">
        <w:t xml:space="preserve"> through the designated electronic process</w:t>
      </w:r>
      <w:r w:rsidR="00D057D7" w:rsidRPr="00F64D7E">
        <w:t xml:space="preserve">, regardless of whether or not </w:t>
      </w:r>
      <w:r w:rsidR="00395857" w:rsidRPr="00F64D7E">
        <w:t xml:space="preserve">they </w:t>
      </w:r>
      <w:r w:rsidR="00D057D7" w:rsidRPr="00F64D7E">
        <w:t>engage in outside consulting/employment</w:t>
      </w:r>
      <w:r w:rsidRPr="00F64D7E">
        <w:t>.</w:t>
      </w:r>
    </w:p>
    <w:p w14:paraId="54FE9FFD" w14:textId="4F0B3993" w:rsidR="006D74AC" w:rsidRPr="00F64D7E" w:rsidRDefault="006D74AC" w:rsidP="002C3C30">
      <w:pPr>
        <w:pStyle w:val="BodyTextIndent2"/>
        <w:spacing w:before="240" w:after="240" w:line="276" w:lineRule="auto"/>
        <w:ind w:left="1440"/>
      </w:pPr>
      <w:r w:rsidRPr="00F64D7E">
        <w:t>(2)</w:t>
      </w:r>
      <w:r w:rsidRPr="00F64D7E">
        <w:tab/>
      </w:r>
      <w:r w:rsidR="00D057D7" w:rsidRPr="00F64D7E">
        <w:t xml:space="preserve">Employees shall submit the completed form </w:t>
      </w:r>
      <w:r w:rsidR="00890626" w:rsidRPr="00F64D7E">
        <w:t xml:space="preserve">through the designated electronic process </w:t>
      </w:r>
      <w:r w:rsidR="00D057D7" w:rsidRPr="00F64D7E">
        <w:t xml:space="preserve">for approval/disapproval </w:t>
      </w:r>
      <w:r w:rsidR="00890626" w:rsidRPr="00F64D7E">
        <w:t xml:space="preserve">by their chain of </w:t>
      </w:r>
      <w:r w:rsidR="00890626" w:rsidRPr="00F64D7E">
        <w:lastRenderedPageBreak/>
        <w:t xml:space="preserve">command </w:t>
      </w:r>
      <w:r w:rsidR="00D057D7" w:rsidRPr="00F64D7E">
        <w:t>at least thirty days prior to the commencement of the consulting/employment services.</w:t>
      </w:r>
    </w:p>
    <w:p w14:paraId="5FAEE758" w14:textId="73B6C790" w:rsidR="006D74AC" w:rsidRPr="00F64D7E" w:rsidRDefault="00D057D7" w:rsidP="002C3C30">
      <w:pPr>
        <w:pStyle w:val="BodyTextIndent2"/>
        <w:spacing w:before="240" w:after="240" w:line="276" w:lineRule="auto"/>
        <w:ind w:left="1440"/>
      </w:pPr>
      <w:r w:rsidRPr="00F64D7E">
        <w:t>(3)</w:t>
      </w:r>
      <w:r w:rsidR="006D74AC" w:rsidRPr="00F64D7E">
        <w:tab/>
        <w:t>Prior approval may be rescinded at any time if the outside</w:t>
      </w:r>
      <w:r w:rsidR="00C91C4F" w:rsidRPr="00F64D7E">
        <w:t xml:space="preserve"> </w:t>
      </w:r>
      <w:r w:rsidR="006D74AC" w:rsidRPr="00F64D7E">
        <w:t xml:space="preserve">consulting/employment interferes with </w:t>
      </w:r>
      <w:r w:rsidR="00CE70BA" w:rsidRPr="00F64D7E">
        <w:t>an employee</w:t>
      </w:r>
      <w:r w:rsidR="006D74AC" w:rsidRPr="00F64D7E">
        <w:t>’s university</w:t>
      </w:r>
      <w:r w:rsidR="00C91C4F" w:rsidRPr="00F64D7E">
        <w:t xml:space="preserve"> </w:t>
      </w:r>
      <w:r w:rsidR="006D74AC" w:rsidRPr="00F64D7E">
        <w:t xml:space="preserve">duties or presents a conflict of interest </w:t>
      </w:r>
      <w:r w:rsidR="001663BA" w:rsidRPr="00F64D7E">
        <w:t xml:space="preserve">and/or conflict of interest </w:t>
      </w:r>
      <w:r w:rsidR="006D74AC" w:rsidRPr="00F64D7E">
        <w:t>regarding these duties.</w:t>
      </w:r>
    </w:p>
    <w:p w14:paraId="6C39EAD5" w14:textId="52BB8F2A" w:rsidR="006D74AC" w:rsidRPr="00F64D7E" w:rsidRDefault="00D057D7" w:rsidP="002C3C30">
      <w:pPr>
        <w:pStyle w:val="BodyTextIndent2"/>
        <w:spacing w:before="240" w:after="240" w:line="276" w:lineRule="auto"/>
        <w:ind w:left="1440"/>
      </w:pPr>
      <w:r w:rsidRPr="00F64D7E">
        <w:t>(4)</w:t>
      </w:r>
      <w:r w:rsidR="006D74AC" w:rsidRPr="00F64D7E">
        <w:tab/>
      </w:r>
      <w:r w:rsidR="007B1E0D" w:rsidRPr="00F64D7E">
        <w:t>Through the designated electronic process, the employee will be notified whether the form is approved or disapproved</w:t>
      </w:r>
      <w:r w:rsidR="00904A22" w:rsidRPr="00F64D7E">
        <w:t xml:space="preserve">.  </w:t>
      </w:r>
      <w:r w:rsidR="00E463E3" w:rsidRPr="00F64D7E">
        <w:t xml:space="preserve">The </w:t>
      </w:r>
      <w:r w:rsidR="00CE70BA" w:rsidRPr="00F64D7E">
        <w:t>office of human resources will maintain the forms and information in accordance with university retention schedules</w:t>
      </w:r>
      <w:r w:rsidR="006D74AC" w:rsidRPr="00F64D7E">
        <w:t xml:space="preserve">. </w:t>
      </w:r>
      <w:r w:rsidR="006D74AC" w:rsidRPr="00F64D7E" w:rsidDel="00285F43">
        <w:t xml:space="preserve"> </w:t>
      </w:r>
    </w:p>
    <w:p w14:paraId="74A894DC" w14:textId="02E03DB7" w:rsidR="006D74AC" w:rsidRPr="00F64D7E" w:rsidRDefault="00E463E3" w:rsidP="002C3C30">
      <w:pPr>
        <w:spacing w:before="240" w:after="240" w:line="276" w:lineRule="auto"/>
        <w:ind w:left="1440" w:hanging="720"/>
      </w:pPr>
      <w:r w:rsidRPr="00F64D7E">
        <w:t>(5)</w:t>
      </w:r>
      <w:r w:rsidR="006D74AC" w:rsidRPr="00F64D7E">
        <w:tab/>
        <w:t xml:space="preserve">All </w:t>
      </w:r>
      <w:r w:rsidR="00CE70BA" w:rsidRPr="00F64D7E">
        <w:t xml:space="preserve">employees </w:t>
      </w:r>
      <w:r w:rsidR="006D74AC" w:rsidRPr="00F64D7E">
        <w:t>are under a</w:t>
      </w:r>
      <w:r w:rsidR="005D0C4B" w:rsidRPr="00F64D7E">
        <w:t xml:space="preserve"> </w:t>
      </w:r>
      <w:r w:rsidR="006D74AC" w:rsidRPr="00F64D7E">
        <w:t>continuing duty to</w:t>
      </w:r>
      <w:r w:rsidR="00CE70BA" w:rsidRPr="00F64D7E">
        <w:t xml:space="preserve"> update the form when circumstances change.</w:t>
      </w:r>
      <w:r w:rsidR="002C3C30" w:rsidRPr="00F64D7E">
        <w:t xml:space="preserve">  </w:t>
      </w:r>
    </w:p>
    <w:p w14:paraId="0263A653" w14:textId="200F7C2F" w:rsidR="00DA0141" w:rsidRPr="00F64D7E" w:rsidRDefault="006D74AC" w:rsidP="002C3C30">
      <w:pPr>
        <w:spacing w:before="240" w:after="240" w:line="276" w:lineRule="auto"/>
        <w:ind w:left="720" w:hanging="720"/>
      </w:pPr>
      <w:r w:rsidRPr="00F64D7E">
        <w:t>(G)</w:t>
      </w:r>
      <w:r w:rsidRPr="00F64D7E">
        <w:tab/>
        <w:t xml:space="preserve">Policy violations. </w:t>
      </w:r>
      <w:r w:rsidR="00C91C4F" w:rsidRPr="00F64D7E">
        <w:t xml:space="preserve"> </w:t>
      </w:r>
      <w:r w:rsidRPr="00F64D7E">
        <w:t>Failure to adhere to this policy, including but not</w:t>
      </w:r>
      <w:r w:rsidR="00C91C4F" w:rsidRPr="00F64D7E">
        <w:t xml:space="preserve"> </w:t>
      </w:r>
      <w:r w:rsidRPr="00F64D7E">
        <w:t>limited to failure to properly report outside consulting</w:t>
      </w:r>
      <w:r w:rsidR="00C91C4F" w:rsidRPr="00F64D7E">
        <w:t xml:space="preserve"> </w:t>
      </w:r>
      <w:r w:rsidRPr="00F64D7E">
        <w:t>services/</w:t>
      </w:r>
      <w:r w:rsidR="002C446A" w:rsidRPr="00F64D7E">
        <w:t xml:space="preserve"> </w:t>
      </w:r>
      <w:r w:rsidRPr="00F64D7E">
        <w:t>employment</w:t>
      </w:r>
      <w:r w:rsidR="005D0C4B" w:rsidRPr="00F64D7E">
        <w:t>,</w:t>
      </w:r>
      <w:r w:rsidRPr="00F64D7E">
        <w:t xml:space="preserve"> may result in corrective action/discipline up to and including</w:t>
      </w:r>
      <w:r w:rsidR="00C91C4F" w:rsidRPr="00F64D7E">
        <w:t xml:space="preserve"> </w:t>
      </w:r>
      <w:r w:rsidRPr="00F64D7E">
        <w:t>termination.</w:t>
      </w:r>
      <w:r w:rsidR="002C3C30" w:rsidRPr="00F64D7E">
        <w:t xml:space="preserve">  </w:t>
      </w:r>
    </w:p>
    <w:sectPr w:rsidR="00DA0141" w:rsidRPr="00F64D7E">
      <w:headerReference w:type="even" r:id="rId9"/>
      <w:headerReference w:type="default" r:id="rId10"/>
      <w:pgSz w:w="12240" w:h="15840"/>
      <w:pgMar w:top="2160" w:right="2160" w:bottom="216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E837" w14:textId="77777777" w:rsidR="00F86853" w:rsidRDefault="00F86853">
      <w:r>
        <w:separator/>
      </w:r>
    </w:p>
  </w:endnote>
  <w:endnote w:type="continuationSeparator" w:id="0">
    <w:p w14:paraId="212C971B" w14:textId="77777777" w:rsidR="00F86853" w:rsidRDefault="00F8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88F88" w14:textId="77777777" w:rsidR="00F86853" w:rsidRDefault="00F86853">
      <w:r>
        <w:separator/>
      </w:r>
    </w:p>
  </w:footnote>
  <w:footnote w:type="continuationSeparator" w:id="0">
    <w:p w14:paraId="3BB969C4" w14:textId="77777777" w:rsidR="00F86853" w:rsidRDefault="00F86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D3160" w14:textId="77777777" w:rsidR="001353BE" w:rsidRDefault="00DA01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8C06B8" w14:textId="77777777" w:rsidR="001353BE" w:rsidRDefault="001353B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BCEF" w14:textId="77777777" w:rsidR="001353BE" w:rsidRDefault="00DA01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6589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68DC11" w14:textId="77777777" w:rsidR="001353BE" w:rsidRDefault="00291FF7" w:rsidP="008004DC">
    <w:pPr>
      <w:pStyle w:val="Header"/>
      <w:tabs>
        <w:tab w:val="clear" w:pos="4320"/>
        <w:tab w:val="clear" w:pos="8640"/>
        <w:tab w:val="left" w:pos="2880"/>
      </w:tabs>
      <w:ind w:right="360"/>
    </w:pPr>
    <w:r>
      <w:t>3356-</w:t>
    </w:r>
    <w:r w:rsidR="00305D5B">
      <w:t>7-34</w:t>
    </w:r>
    <w:r w:rsidR="008004D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1"/>
    <w:rsid w:val="00042FC5"/>
    <w:rsid w:val="00091A82"/>
    <w:rsid w:val="00092CA8"/>
    <w:rsid w:val="000D76F6"/>
    <w:rsid w:val="00114EE1"/>
    <w:rsid w:val="00121BAD"/>
    <w:rsid w:val="001353BE"/>
    <w:rsid w:val="001663BA"/>
    <w:rsid w:val="00166E4B"/>
    <w:rsid w:val="001F01D3"/>
    <w:rsid w:val="001F7171"/>
    <w:rsid w:val="00243504"/>
    <w:rsid w:val="002901DD"/>
    <w:rsid w:val="00291FF7"/>
    <w:rsid w:val="002C3C30"/>
    <w:rsid w:val="002C446A"/>
    <w:rsid w:val="00305D5B"/>
    <w:rsid w:val="00337BC7"/>
    <w:rsid w:val="00342CE7"/>
    <w:rsid w:val="00361440"/>
    <w:rsid w:val="00395857"/>
    <w:rsid w:val="003A49F6"/>
    <w:rsid w:val="004661F9"/>
    <w:rsid w:val="0049069C"/>
    <w:rsid w:val="00497714"/>
    <w:rsid w:val="004C1B5F"/>
    <w:rsid w:val="004F785D"/>
    <w:rsid w:val="00512F74"/>
    <w:rsid w:val="005D0C4B"/>
    <w:rsid w:val="00655D3F"/>
    <w:rsid w:val="00686388"/>
    <w:rsid w:val="00696D40"/>
    <w:rsid w:val="006D74AC"/>
    <w:rsid w:val="006F0BB1"/>
    <w:rsid w:val="00723549"/>
    <w:rsid w:val="007B1E0D"/>
    <w:rsid w:val="007B241C"/>
    <w:rsid w:val="008004DC"/>
    <w:rsid w:val="0080474B"/>
    <w:rsid w:val="00876BF6"/>
    <w:rsid w:val="00890626"/>
    <w:rsid w:val="00893B64"/>
    <w:rsid w:val="008C1D0B"/>
    <w:rsid w:val="00904A22"/>
    <w:rsid w:val="00910343"/>
    <w:rsid w:val="009559B6"/>
    <w:rsid w:val="00964504"/>
    <w:rsid w:val="00974622"/>
    <w:rsid w:val="00996CF1"/>
    <w:rsid w:val="009E2BE0"/>
    <w:rsid w:val="00A32E93"/>
    <w:rsid w:val="00A83EC7"/>
    <w:rsid w:val="00A8783F"/>
    <w:rsid w:val="00AE44B0"/>
    <w:rsid w:val="00B41DA5"/>
    <w:rsid w:val="00B66589"/>
    <w:rsid w:val="00B942B8"/>
    <w:rsid w:val="00C53E4B"/>
    <w:rsid w:val="00C91C4F"/>
    <w:rsid w:val="00CD3A60"/>
    <w:rsid w:val="00CD3F15"/>
    <w:rsid w:val="00CE70BA"/>
    <w:rsid w:val="00CF2646"/>
    <w:rsid w:val="00D057D7"/>
    <w:rsid w:val="00D2077B"/>
    <w:rsid w:val="00DA0141"/>
    <w:rsid w:val="00DC71A5"/>
    <w:rsid w:val="00E3244C"/>
    <w:rsid w:val="00E463E3"/>
    <w:rsid w:val="00EE7015"/>
    <w:rsid w:val="00F1443A"/>
    <w:rsid w:val="00F17DF3"/>
    <w:rsid w:val="00F20B29"/>
    <w:rsid w:val="00F64D7E"/>
    <w:rsid w:val="00F73A50"/>
    <w:rsid w:val="00F86853"/>
    <w:rsid w:val="00FC4C63"/>
    <w:rsid w:val="00FD4F02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96D7E"/>
  <w15:docId w15:val="{738F6FA3-A54B-4C75-874B-138B14C4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1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DA0141"/>
    <w:pPr>
      <w:ind w:left="1440" w:hanging="1440"/>
    </w:pPr>
    <w:rPr>
      <w:b/>
      <w:bCs/>
      <w:u w:val="single"/>
    </w:rPr>
  </w:style>
  <w:style w:type="character" w:customStyle="1" w:styleId="BodyTextIndentChar">
    <w:name w:val="Body Text Indent Char"/>
    <w:basedOn w:val="DefaultParagraphFont"/>
    <w:link w:val="BodyTextIndent"/>
    <w:semiHidden/>
    <w:rsid w:val="00DA0141"/>
    <w:rPr>
      <w:rFonts w:ascii="Times New Roman" w:eastAsia="Times New Roman" w:hAnsi="Times New Roman" w:cs="Times New Roman"/>
      <w:b/>
      <w:bCs/>
      <w:szCs w:val="24"/>
      <w:u w:val="single"/>
    </w:rPr>
  </w:style>
  <w:style w:type="paragraph" w:styleId="BodyTextIndent2">
    <w:name w:val="Body Text Indent 2"/>
    <w:basedOn w:val="Normal"/>
    <w:link w:val="BodyTextIndent2Char"/>
    <w:semiHidden/>
    <w:rsid w:val="00DA0141"/>
    <w:pPr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A0141"/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semiHidden/>
    <w:rsid w:val="00DA0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A0141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semiHidden/>
    <w:rsid w:val="00DA0141"/>
  </w:style>
  <w:style w:type="paragraph" w:styleId="Footer">
    <w:name w:val="footer"/>
    <w:basedOn w:val="Normal"/>
    <w:link w:val="FooterChar"/>
    <w:uiPriority w:val="99"/>
    <w:unhideWhenUsed/>
    <w:rsid w:val="00305D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D5B"/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6D74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Revision">
    <w:name w:val="Revision"/>
    <w:hidden/>
    <w:uiPriority w:val="99"/>
    <w:semiHidden/>
    <w:rsid w:val="00893B64"/>
    <w:pPr>
      <w:spacing w:after="0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0F654C64B84396BF17B48E48117C" ma:contentTypeVersion="4" ma:contentTypeDescription="Create a new document." ma:contentTypeScope="" ma:versionID="57a1898fdddd39ff62402c5dd70723a8">
  <xsd:schema xmlns:xsd="http://www.w3.org/2001/XMLSchema" xmlns:xs="http://www.w3.org/2001/XMLSchema" xmlns:p="http://schemas.microsoft.com/office/2006/metadata/properties" xmlns:ns2="c6375182-8faf-406a-bc62-bc3c74cd8834" targetNamespace="http://schemas.microsoft.com/office/2006/metadata/properties" ma:root="true" ma:fieldsID="1ddbbe4a93eba8b9be2295c6859b4011" ns2:_="">
    <xsd:import namespace="c6375182-8faf-406a-bc62-bc3c74cd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5182-8faf-406a-bc62-bc3c74cd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19BAA-DA47-4AF7-84B9-B739F426B1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92BCCB-6845-48F7-8BD1-9B23363D9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76F8D-2D6A-41AE-B892-18DDDE926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75182-8faf-406a-bc62-bc3c74cd8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831</Words>
  <Characters>5211</Characters>
  <Application>Microsoft Office Word</Application>
  <DocSecurity>0</DocSecurity>
  <Lines>110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 Jusino</cp:lastModifiedBy>
  <cp:revision>7</cp:revision>
  <cp:lastPrinted>2020-01-03T17:18:00Z</cp:lastPrinted>
  <dcterms:created xsi:type="dcterms:W3CDTF">2025-11-26T20:13:00Z</dcterms:created>
  <dcterms:modified xsi:type="dcterms:W3CDTF">2025-12-29T15:09:00Z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0x0101001CD60F654C64B84396BF17B48E48117C</vt:lpwstr>
  </property>
</Properties>
</file>