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1E3E" w14:textId="652E565A" w:rsidR="001E00FB" w:rsidRPr="00BB605A" w:rsidRDefault="00AD42D0" w:rsidP="00BE39EE">
      <w:pPr>
        <w:ind w:right="720"/>
        <w:rPr>
          <w:rFonts w:ascii="Times New Roman" w:hAnsi="Times New Roman" w:cs="Times New Roman"/>
          <w:b/>
          <w:bCs/>
        </w:rPr>
      </w:pPr>
      <w:r w:rsidRPr="00BB605A">
        <w:rPr>
          <w:rFonts w:ascii="Times New Roman" w:hAnsi="Times New Roman" w:cs="Times New Roman"/>
          <w:b/>
          <w:bCs/>
        </w:rPr>
        <w:t xml:space="preserve">3356-10-29 </w:t>
      </w:r>
      <w:r w:rsidRPr="00BB605A">
        <w:rPr>
          <w:rFonts w:ascii="Times New Roman" w:hAnsi="Times New Roman" w:cs="Times New Roman"/>
          <w:b/>
          <w:bCs/>
        </w:rPr>
        <w:tab/>
        <w:t>Faculty annual performance evaluations</w:t>
      </w:r>
    </w:p>
    <w:p w14:paraId="6EAE0976" w14:textId="277D5545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991044" w:rsidRPr="00BB605A">
        <w:rPr>
          <w:rFonts w:ascii="Times New Roman" w:eastAsia="Times New Roman" w:hAnsi="Times New Roman" w:cs="Times New Roman"/>
          <w:szCs w:val="24"/>
        </w:rPr>
        <w:t>Division/</w:t>
      </w:r>
      <w:r w:rsidRPr="00BB605A">
        <w:rPr>
          <w:rFonts w:ascii="Times New Roman" w:eastAsia="Times New Roman" w:hAnsi="Times New Roman" w:cs="Times New Roman"/>
          <w:szCs w:val="24"/>
        </w:rPr>
        <w:t>Office:</w:t>
      </w:r>
      <w:r w:rsidR="003C3F4D"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>Academic Affairs</w:t>
      </w:r>
    </w:p>
    <w:p w14:paraId="25ADE503" w14:textId="1DDF1457" w:rsidR="0000141B" w:rsidRPr="00BB605A" w:rsidRDefault="00263568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00141B" w:rsidRPr="00BB605A">
        <w:rPr>
          <w:rFonts w:ascii="Times New Roman" w:eastAsia="Times New Roman" w:hAnsi="Times New Roman" w:cs="Times New Roman"/>
          <w:szCs w:val="24"/>
        </w:rPr>
        <w:t>Officer:</w:t>
      </w:r>
      <w:r w:rsidR="0000141B"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 xml:space="preserve">Provost and </w:t>
      </w:r>
      <w:r w:rsidR="00BE39EE">
        <w:rPr>
          <w:rFonts w:ascii="Times New Roman" w:eastAsia="Times New Roman" w:hAnsi="Times New Roman" w:cs="Times New Roman"/>
          <w:szCs w:val="24"/>
        </w:rPr>
        <w:t xml:space="preserve">VP </w:t>
      </w:r>
      <w:r w:rsidR="00773DD0" w:rsidRPr="00BB605A">
        <w:rPr>
          <w:rFonts w:ascii="Times New Roman" w:eastAsia="Times New Roman" w:hAnsi="Times New Roman" w:cs="Times New Roman"/>
          <w:szCs w:val="24"/>
        </w:rPr>
        <w:t>for Academic Affairs</w:t>
      </w:r>
    </w:p>
    <w:p w14:paraId="1B37625C" w14:textId="064158A7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>Revision History:</w:t>
      </w:r>
      <w:r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>December 2025</w:t>
      </w:r>
    </w:p>
    <w:p w14:paraId="36C514BA" w14:textId="79371CD8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>Board Committee:</w:t>
      </w:r>
      <w:r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>Academic Excellence and Student Success</w:t>
      </w:r>
    </w:p>
    <w:p w14:paraId="41B8EAFA" w14:textId="54236AF8" w:rsidR="0000141B" w:rsidRPr="00BB605A" w:rsidRDefault="00991044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b/>
          <w:szCs w:val="24"/>
        </w:rPr>
        <w:t xml:space="preserve">Effective </w:t>
      </w:r>
      <w:r w:rsidR="00266489" w:rsidRPr="00BB605A">
        <w:rPr>
          <w:rFonts w:ascii="Times New Roman" w:eastAsia="Times New Roman" w:hAnsi="Times New Roman" w:cs="Times New Roman"/>
          <w:b/>
          <w:szCs w:val="24"/>
        </w:rPr>
        <w:t>Date</w:t>
      </w:r>
      <w:r w:rsidR="0000141B" w:rsidRPr="00BB605A">
        <w:rPr>
          <w:rFonts w:ascii="Times New Roman" w:eastAsia="Times New Roman" w:hAnsi="Times New Roman" w:cs="Times New Roman"/>
          <w:b/>
          <w:szCs w:val="24"/>
        </w:rPr>
        <w:t>:</w:t>
      </w:r>
      <w:r w:rsidR="0000141B"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b/>
          <w:bCs/>
          <w:szCs w:val="24"/>
        </w:rPr>
        <w:t>December 11</w:t>
      </w:r>
      <w:r w:rsidR="0059224E" w:rsidRPr="00BB605A">
        <w:rPr>
          <w:rFonts w:ascii="Times New Roman" w:eastAsia="Times New Roman" w:hAnsi="Times New Roman" w:cs="Times New Roman"/>
          <w:b/>
          <w:bCs/>
          <w:szCs w:val="24"/>
        </w:rPr>
        <w:t>, 2025</w:t>
      </w:r>
    </w:p>
    <w:p w14:paraId="6E1B56A1" w14:textId="03C9AB47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>Next Review:</w:t>
      </w:r>
      <w:r w:rsidRPr="00BB605A">
        <w:rPr>
          <w:rFonts w:ascii="Times New Roman" w:eastAsia="Times New Roman" w:hAnsi="Times New Roman" w:cs="Times New Roman"/>
          <w:szCs w:val="24"/>
        </w:rPr>
        <w:tab/>
      </w:r>
      <w:r w:rsidR="008C3A19" w:rsidRPr="00BB605A">
        <w:rPr>
          <w:rFonts w:ascii="Times New Roman" w:eastAsia="Times New Roman" w:hAnsi="Times New Roman" w:cs="Times New Roman"/>
          <w:szCs w:val="24"/>
        </w:rPr>
        <w:t>2030</w:t>
      </w:r>
    </w:p>
    <w:p w14:paraId="42FA24D8" w14:textId="6B34C217" w:rsidR="00AF76FF" w:rsidRPr="00BB605A" w:rsidRDefault="0000141B" w:rsidP="00BE39EE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BB605A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BB605A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535787D2" w14:textId="5AFC0988" w:rsidR="00333036" w:rsidRPr="00BB605A" w:rsidRDefault="00AF76FF" w:rsidP="00BE39EE">
      <w:pPr>
        <w:spacing w:before="240"/>
        <w:ind w:left="720" w:right="720" w:hanging="720"/>
        <w:rPr>
          <w:rFonts w:ascii="Times New Roman" w:hAnsi="Times New Roman" w:cs="Times New Roman"/>
        </w:rPr>
      </w:pPr>
      <w:r w:rsidRPr="00BB605A">
        <w:rPr>
          <w:rFonts w:ascii="Times New Roman" w:eastAsia="Calibri" w:hAnsi="Times New Roman" w:cs="Times New Roman"/>
        </w:rPr>
        <w:t>(A)</w:t>
      </w:r>
      <w:r w:rsidRPr="00BB605A">
        <w:rPr>
          <w:rFonts w:ascii="Times New Roman" w:eastAsia="Calibri" w:hAnsi="Times New Roman" w:cs="Times New Roman"/>
        </w:rPr>
        <w:tab/>
      </w:r>
      <w:r w:rsidR="00B81AA2" w:rsidRPr="00BB605A">
        <w:rPr>
          <w:rFonts w:ascii="Times New Roman" w:hAnsi="Times New Roman" w:cs="Times New Roman"/>
        </w:rPr>
        <w:t>Purpose.  The purpose of faculty annual performance evaluations is to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foster continuous professional growth and provide decision-makers with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comprehensive information regarding faculty performance including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considerations for promotion, tenure, and post-tenure decisions.  In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 xml:space="preserve">addition, pursuant to section </w:t>
      </w:r>
      <w:r w:rsidR="00B81AA2" w:rsidRPr="003E4A49">
        <w:rPr>
          <w:rFonts w:ascii="Times New Roman" w:hAnsi="Times New Roman" w:cs="Times New Roman"/>
        </w:rPr>
        <w:t>3345.452 of the Revised Code</w:t>
      </w:r>
      <w:r w:rsidR="00B81AA2" w:rsidRPr="00BB605A">
        <w:rPr>
          <w:rFonts w:ascii="Times New Roman" w:hAnsi="Times New Roman" w:cs="Times New Roman"/>
        </w:rPr>
        <w:t>, the evaluation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establishes a projected work effort distribution for the faculty member for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the next year which shall be used during the next year’s evaluation.</w:t>
      </w:r>
    </w:p>
    <w:p w14:paraId="6B4D2529" w14:textId="143F0589" w:rsidR="00333036" w:rsidRPr="00BB605A" w:rsidRDefault="00557D06" w:rsidP="00BE39EE">
      <w:pPr>
        <w:spacing w:before="240"/>
        <w:ind w:left="72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(B)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Procedure.  Faculty members shall adhere to the instructions and timeline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regarding the </w:t>
      </w:r>
      <w:bookmarkStart w:id="0" w:name="_Int_1WuIF5JD"/>
      <w:r w:rsidR="00333036" w:rsidRPr="00BB605A">
        <w:rPr>
          <w:rFonts w:ascii="Times New Roman" w:hAnsi="Times New Roman" w:cs="Times New Roman"/>
        </w:rPr>
        <w:t>faculty</w:t>
      </w:r>
      <w:bookmarkEnd w:id="0"/>
      <w:r w:rsidR="00333036" w:rsidRPr="00BB605A">
        <w:rPr>
          <w:rFonts w:ascii="Times New Roman" w:hAnsi="Times New Roman" w:cs="Times New Roman"/>
        </w:rPr>
        <w:t xml:space="preserve"> annual performance evaluation.</w:t>
      </w:r>
    </w:p>
    <w:p w14:paraId="24BEBA4E" w14:textId="471527B1" w:rsidR="00BB6D59" w:rsidRPr="00BB605A" w:rsidRDefault="00557D06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(1)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Each full-time faculty member at Youngstown state university</w:t>
      </w:r>
      <w:r w:rsidR="00DC09DE" w:rsidRPr="00BB605A">
        <w:rPr>
          <w:rFonts w:ascii="Times New Roman" w:hAnsi="Times New Roman" w:cs="Times New Roman"/>
        </w:rPr>
        <w:t xml:space="preserve"> (YSU)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undergo an annual performance evaluation encompassing the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entire academic year, including summer terms when applicable. 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There are three parts to the evaluation: </w:t>
      </w:r>
      <w:r w:rsidRPr="00BB605A">
        <w:rPr>
          <w:rFonts w:ascii="Times New Roman" w:hAnsi="Times New Roman" w:cs="Times New Roman"/>
        </w:rPr>
        <w:t xml:space="preserve"> </w:t>
      </w:r>
    </w:p>
    <w:p w14:paraId="7C957CC8" w14:textId="771FC414" w:rsidR="00BB6D59" w:rsidRPr="00BB605A" w:rsidRDefault="00BB6D5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(a)</w:t>
      </w:r>
      <w:r w:rsidRPr="00BB605A">
        <w:rPr>
          <w:rFonts w:ascii="Times New Roman" w:hAnsi="Times New Roman" w:cs="Times New Roman"/>
        </w:rPr>
        <w:tab/>
        <w:t>R</w:t>
      </w:r>
      <w:r w:rsidR="00333036" w:rsidRPr="00BB605A">
        <w:rPr>
          <w:rFonts w:ascii="Times New Roman" w:hAnsi="Times New Roman" w:cs="Times New Roman"/>
        </w:rPr>
        <w:t>ubric-based assessment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of the performance areas</w:t>
      </w:r>
      <w:r w:rsidRPr="00BB605A">
        <w:rPr>
          <w:rFonts w:ascii="Times New Roman" w:hAnsi="Times New Roman" w:cs="Times New Roman"/>
        </w:rPr>
        <w:t>,</w:t>
      </w:r>
      <w:r w:rsidR="00333036" w:rsidRPr="00BB605A">
        <w:rPr>
          <w:rFonts w:ascii="Times New Roman" w:hAnsi="Times New Roman" w:cs="Times New Roman"/>
        </w:rPr>
        <w:t xml:space="preserve"> </w:t>
      </w:r>
    </w:p>
    <w:p w14:paraId="0622C324" w14:textId="77777777" w:rsidR="00BB6D59" w:rsidRPr="00BB605A" w:rsidRDefault="00BB6D5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(b)</w:t>
      </w:r>
      <w:r w:rsidRPr="00BB605A">
        <w:rPr>
          <w:rFonts w:ascii="Times New Roman" w:hAnsi="Times New Roman" w:cs="Times New Roman"/>
        </w:rPr>
        <w:tab/>
        <w:t>S</w:t>
      </w:r>
      <w:r w:rsidR="00333036" w:rsidRPr="00BB605A">
        <w:rPr>
          <w:rFonts w:ascii="Times New Roman" w:hAnsi="Times New Roman" w:cs="Times New Roman"/>
        </w:rPr>
        <w:t>ummary assessment of the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areas</w:t>
      </w:r>
      <w:r w:rsidRPr="00BB605A">
        <w:rPr>
          <w:rFonts w:ascii="Times New Roman" w:hAnsi="Times New Roman" w:cs="Times New Roman"/>
        </w:rPr>
        <w:t>,</w:t>
      </w:r>
      <w:r w:rsidR="00333036" w:rsidRPr="00BB605A">
        <w:rPr>
          <w:rFonts w:ascii="Times New Roman" w:hAnsi="Times New Roman" w:cs="Times New Roman"/>
        </w:rPr>
        <w:t xml:space="preserve"> and</w:t>
      </w:r>
    </w:p>
    <w:p w14:paraId="13A5FA07" w14:textId="5C6433E5" w:rsidR="00333036" w:rsidRPr="00BB605A" w:rsidRDefault="00BB6D5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(c)</w:t>
      </w:r>
      <w:r w:rsidRPr="00BB605A">
        <w:rPr>
          <w:rFonts w:ascii="Times New Roman" w:hAnsi="Times New Roman" w:cs="Times New Roman"/>
        </w:rPr>
        <w:tab/>
        <w:t>A</w:t>
      </w:r>
      <w:r w:rsidR="00333036" w:rsidRPr="00BB605A">
        <w:rPr>
          <w:rFonts w:ascii="Times New Roman" w:hAnsi="Times New Roman" w:cs="Times New Roman"/>
        </w:rPr>
        <w:t xml:space="preserve"> narrative summary of the peer review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teaching.</w:t>
      </w:r>
    </w:p>
    <w:p w14:paraId="617593E4" w14:textId="2D273691" w:rsidR="00333036" w:rsidRPr="00BB605A" w:rsidRDefault="008F6289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(2)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Performance areas to be evaluated</w:t>
      </w:r>
      <w:r w:rsidRPr="00BB605A">
        <w:rPr>
          <w:rFonts w:ascii="Times New Roman" w:hAnsi="Times New Roman" w:cs="Times New Roman"/>
        </w:rPr>
        <w:t>:</w:t>
      </w:r>
    </w:p>
    <w:p w14:paraId="76B77841" w14:textId="73D9C992" w:rsidR="00333036" w:rsidRPr="00BB605A" w:rsidRDefault="008F628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(a)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areas subject to evaluation include any in which a faculty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member devotes five per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or more of their annual workload.</w:t>
      </w:r>
      <w:r w:rsidR="000C5FAD" w:rsidRPr="00BB605A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These areas may include, but are not limited to, teaching; research,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scholarship, creative activity, or commercialization; service;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clinical instruction or activities; administrative responsibilities; and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other duties recognized by YSU.</w:t>
      </w:r>
    </w:p>
    <w:p w14:paraId="778D3B10" w14:textId="52B7F24C" w:rsidR="00333036" w:rsidRPr="00BB605A" w:rsidRDefault="00DC09DE" w:rsidP="00BE39EE">
      <w:pPr>
        <w:spacing w:before="240"/>
        <w:ind w:left="2160" w:right="720" w:hanging="720"/>
        <w:rPr>
          <w:rFonts w:ascii="Times New Roman" w:hAnsi="Times New Roman" w:cs="Times New Roman"/>
          <w:kern w:val="2"/>
          <w14:ligatures w14:val="standardContextual"/>
        </w:rPr>
      </w:pPr>
      <w:r w:rsidRPr="00BB605A">
        <w:rPr>
          <w:rFonts w:ascii="Times New Roman" w:hAnsi="Times New Roman" w:cs="Times New Roman"/>
        </w:rPr>
        <w:lastRenderedPageBreak/>
        <w:t>(b)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The areas evaluated for each faculty member will correspond to</w:t>
      </w:r>
      <w:r w:rsidR="000C5FAD" w:rsidRPr="00BB605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assigned workload for the summer (if applicable), fall, and spring</w:t>
      </w:r>
      <w:r w:rsidR="000C5FAD" w:rsidRPr="00BB605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terms.</w:t>
      </w:r>
      <w:r w:rsidRPr="00BB605A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="00193CFE" w:rsidRPr="00BB605A">
        <w:rPr>
          <w:rFonts w:ascii="Times New Roman" w:hAnsi="Times New Roman" w:cs="Times New Roman"/>
          <w:kern w:val="2"/>
          <w14:ligatures w14:val="standardContextual"/>
        </w:rPr>
        <w:t>A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ccordingly, workload plans and reports must be updated as</w:t>
      </w:r>
      <w:r w:rsidR="000C5FAD" w:rsidRPr="00BB605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necessary to accurately reflect these assignments.</w:t>
      </w:r>
    </w:p>
    <w:p w14:paraId="1A48377A" w14:textId="77777777" w:rsidR="002223E6" w:rsidRDefault="00E6292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  <w:kern w:val="2"/>
          <w14:ligatures w14:val="standardContextual"/>
        </w:rPr>
        <w:t>(</w:t>
      </w:r>
      <w:r w:rsidR="000D1C24" w:rsidRPr="00BB605A">
        <w:rPr>
          <w:rFonts w:ascii="Times New Roman" w:hAnsi="Times New Roman" w:cs="Times New Roman"/>
          <w:kern w:val="2"/>
          <w14:ligatures w14:val="standardContextual"/>
        </w:rPr>
        <w:t>3</w:t>
      </w:r>
      <w:r w:rsidRPr="00BB605A">
        <w:rPr>
          <w:rFonts w:ascii="Times New Roman" w:hAnsi="Times New Roman" w:cs="Times New Roman"/>
          <w:kern w:val="2"/>
          <w14:ligatures w14:val="standardContextual"/>
        </w:rPr>
        <w:t>)</w:t>
      </w:r>
      <w:r w:rsidRPr="00BB605A">
        <w:rPr>
          <w:rFonts w:ascii="Times New Roman" w:hAnsi="Times New Roman" w:cs="Times New Roman"/>
          <w:kern w:val="2"/>
          <w14:ligatures w14:val="standardContextual"/>
        </w:rPr>
        <w:tab/>
        <w:t>S</w:t>
      </w:r>
      <w:r w:rsidR="00333036" w:rsidRPr="00BB605A">
        <w:rPr>
          <w:rFonts w:ascii="Times New Roman" w:hAnsi="Times New Roman" w:cs="Times New Roman"/>
        </w:rPr>
        <w:t>ummary assessment of the performance areas.  Pursuant to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D64090">
        <w:rPr>
          <w:rFonts w:ascii="Times New Roman" w:hAnsi="Times New Roman" w:cs="Times New Roman"/>
        </w:rPr>
        <w:t>section</w:t>
      </w:r>
      <w:r w:rsidRPr="00D64090">
        <w:rPr>
          <w:rFonts w:ascii="Times New Roman" w:hAnsi="Times New Roman" w:cs="Times New Roman"/>
        </w:rPr>
        <w:t xml:space="preserve"> </w:t>
      </w:r>
      <w:r w:rsidR="00333036" w:rsidRPr="00D64090">
        <w:rPr>
          <w:rFonts w:ascii="Times New Roman" w:hAnsi="Times New Roman" w:cs="Times New Roman"/>
        </w:rPr>
        <w:t>3345.452 of the Revised Code, the evaluation</w:t>
      </w:r>
      <w:r w:rsidR="00333036" w:rsidRPr="00BB605A">
        <w:rPr>
          <w:rFonts w:ascii="Times New Roman" w:hAnsi="Times New Roman" w:cs="Times New Roman"/>
        </w:rPr>
        <w:t xml:space="preserve"> tool shall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include a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“summary assessment of the performance areas” for each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area that faculty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spend five per</w:t>
      </w:r>
      <w:r w:rsidR="00F50ED4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or more of their annual work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time in workload.</w:t>
      </w:r>
    </w:p>
    <w:p w14:paraId="54E98831" w14:textId="4C7C874B" w:rsidR="00BB605A" w:rsidRDefault="00333036" w:rsidP="00BE39EE">
      <w:pPr>
        <w:spacing w:before="240"/>
        <w:ind w:left="1440" w:right="720"/>
        <w:rPr>
          <w:rStyle w:val="Emphasis"/>
          <w:rFonts w:ascii="Times New Roman" w:eastAsiaTheme="majorEastAsia" w:hAnsi="Times New Roman" w:cs="Times New Roman"/>
          <w:i w:val="0"/>
          <w:iCs w:val="0"/>
        </w:rPr>
      </w:pPr>
      <w:r w:rsidRPr="00BB605A">
        <w:rPr>
          <w:rFonts w:ascii="Times New Roman" w:hAnsi="Times New Roman" w:cs="Times New Roman"/>
        </w:rPr>
        <w:t>The summary assessment shall include one of the following</w:t>
      </w:r>
      <w:r w:rsidR="000C5FAD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 xml:space="preserve">performance parameters for each area evaluated: </w:t>
      </w:r>
      <w:r w:rsidR="007D1221">
        <w:rPr>
          <w:rFonts w:ascii="Times New Roman" w:hAnsi="Times New Roman" w:cs="Times New Roman"/>
        </w:rPr>
        <w:t xml:space="preserve"> </w:t>
      </w:r>
      <w:r w:rsidR="00534C3F">
        <w:rPr>
          <w:rFonts w:ascii="Times New Roman" w:hAnsi="Times New Roman" w:cs="Times New Roman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xceeds</w:t>
      </w:r>
      <w:r w:rsidR="000C5FAD"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pe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rformance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xpectations</w:t>
      </w:r>
      <w:r w:rsidRPr="00BB605A">
        <w:rPr>
          <w:rFonts w:ascii="Times New Roman" w:hAnsi="Times New Roman" w:cs="Times New Roman"/>
        </w:rPr>
        <w:t xml:space="preserve">, </w:t>
      </w:r>
      <w:r w:rsidR="00534C3F">
        <w:rPr>
          <w:rFonts w:ascii="Times New Roman" w:hAnsi="Times New Roman" w:cs="Times New Roman"/>
        </w:rPr>
        <w:t>m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eets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p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erformance</w:t>
      </w:r>
      <w:r w:rsidR="000C5FAD"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xpectations</w:t>
      </w:r>
      <w:r w:rsidRPr="00BB605A">
        <w:rPr>
          <w:rFonts w:ascii="Times New Roman" w:hAnsi="Times New Roman" w:cs="Times New Roman"/>
        </w:rPr>
        <w:t xml:space="preserve">, or </w:t>
      </w:r>
      <w:r w:rsidR="00534C3F">
        <w:rPr>
          <w:rFonts w:ascii="Times New Roman" w:hAnsi="Times New Roman" w:cs="Times New Roman"/>
        </w:rPr>
        <w:t>d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oes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n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ot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m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eet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p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erformance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xpectations.</w:t>
      </w:r>
    </w:p>
    <w:p w14:paraId="61620BF2" w14:textId="605B5BBC" w:rsidR="00333036" w:rsidRDefault="002223E6" w:rsidP="00BE39EE">
      <w:pPr>
        <w:spacing w:before="240"/>
        <w:ind w:left="720" w:right="720" w:hanging="720"/>
        <w:rPr>
          <w:rFonts w:ascii="Times New Roman" w:eastAsia="Times New Roman" w:hAnsi="Times New Roman" w:cs="Times New Roman"/>
        </w:rPr>
      </w:pPr>
      <w:r>
        <w:rPr>
          <w:rStyle w:val="Emphasis"/>
          <w:rFonts w:ascii="Times New Roman" w:eastAsiaTheme="majorEastAsia" w:hAnsi="Times New Roman" w:cs="Times New Roman"/>
          <w:i w:val="0"/>
          <w:iCs w:val="0"/>
        </w:rPr>
        <w:t>(C)</w:t>
      </w:r>
      <w:r>
        <w:rPr>
          <w:rStyle w:val="Emphasis"/>
          <w:rFonts w:ascii="Times New Roman" w:eastAsiaTheme="majorEastAsia" w:hAnsi="Times New Roman" w:cs="Times New Roman"/>
          <w:i w:val="0"/>
          <w:iCs w:val="0"/>
        </w:rPr>
        <w:tab/>
      </w:r>
      <w:r w:rsidR="00333036" w:rsidRPr="00BB605A">
        <w:rPr>
          <w:rFonts w:ascii="Times New Roman" w:eastAsia="Times New Roman" w:hAnsi="Times New Roman" w:cs="Times New Roman"/>
        </w:rPr>
        <w:t>Performance area evaluation tool.</w:t>
      </w:r>
      <w:r w:rsidR="00333036" w:rsidRPr="00BB605A">
        <w:rPr>
          <w:rFonts w:ascii="Times New Roman" w:eastAsia="Times New Roman" w:hAnsi="Times New Roman" w:cs="Times New Roman"/>
          <w:b/>
          <w:bCs/>
        </w:rPr>
        <w:t xml:space="preserve">  </w:t>
      </w:r>
      <w:r w:rsidR="00333036" w:rsidRPr="00BB605A">
        <w:rPr>
          <w:rFonts w:ascii="Times New Roman" w:eastAsia="Times New Roman" w:hAnsi="Times New Roman" w:cs="Times New Roman"/>
        </w:rPr>
        <w:t>The performance area evaluation tool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used for the annual faculty evaluations shall include both the department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chair’s evaluation of the faculty member and the dean’s review and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 xml:space="preserve">approval or disapproval. 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In assessing performance areas, faculty annual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evaluations conducted by administration shall incorporate student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 xml:space="preserve">evaluations of teaching and a summary of peer reviews. 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Additionally, any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requirements specified in a faculty member’s initial appointment letter,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when applicable, shall be reflected in both the chair’s evaluation and the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 xml:space="preserve">dean’s review. 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References to personnel investigations for which findings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have not been reported should be avoided, but those with findings should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be included.</w:t>
      </w:r>
    </w:p>
    <w:p w14:paraId="09713748" w14:textId="5AEAB9E0" w:rsidR="00333036" w:rsidRDefault="005D46F5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For faculty members holding cross-appointments, department chairs or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 directors will confer regarding the individual’s performance prior</w:t>
      </w:r>
      <w:r w:rsidR="006513C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to finalizing the evaluation and summary assessment.</w:t>
      </w:r>
    </w:p>
    <w:p w14:paraId="57627C01" w14:textId="7F9D10C3" w:rsidR="00333036" w:rsidRDefault="006513C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An annual faculty performance evaluation rubric developed by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and/or dean shall be reviewed and considered for approval by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dean.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The rubric should align with program goals, action steps,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program pitch statements and shall employ standardized, objective,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measurable performance metrics.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provost retains final approval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authority regarding rubric criteria.</w:t>
      </w:r>
    </w:p>
    <w:p w14:paraId="6D7A5334" w14:textId="2577F1DA" w:rsidR="004E7D69" w:rsidRDefault="00333036" w:rsidP="00BE39EE">
      <w:pPr>
        <w:spacing w:before="240"/>
        <w:ind w:left="1440" w:right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lastRenderedPageBreak/>
        <w:t>Minimum rubric requirements for teaching and non-teaching</w:t>
      </w:r>
      <w:r w:rsidR="00801EF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duties</w:t>
      </w:r>
      <w:r w:rsidR="00641AF0">
        <w:rPr>
          <w:rFonts w:ascii="Times New Roman" w:hAnsi="Times New Roman" w:cs="Times New Roman"/>
        </w:rPr>
        <w:t>:</w:t>
      </w:r>
      <w:r w:rsidR="00A75DF9">
        <w:rPr>
          <w:rFonts w:ascii="Times New Roman" w:hAnsi="Times New Roman" w:cs="Times New Roman"/>
        </w:rPr>
        <w:t xml:space="preserve">  </w:t>
      </w:r>
    </w:p>
    <w:p w14:paraId="0F6F3A96" w14:textId="77777777" w:rsidR="004D6F87" w:rsidRDefault="00A75DF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Teaching.  While an evaluation rubric for teaching may vary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across the university, student evaluation of teaching, chair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observation of teaching, and peer evaluations shall be included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annual faculty evaluations.</w:t>
      </w:r>
      <w:r w:rsidR="004D6F87">
        <w:rPr>
          <w:rFonts w:ascii="Times New Roman" w:hAnsi="Times New Roman" w:cs="Times New Roman"/>
        </w:rPr>
        <w:t xml:space="preserve">  </w:t>
      </w:r>
    </w:p>
    <w:p w14:paraId="5BFFEE2B" w14:textId="77777777" w:rsidR="00B94C68" w:rsidRDefault="00B94C68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33036" w:rsidRPr="00FF78B2">
        <w:rPr>
          <w:rFonts w:ascii="Times New Roman" w:hAnsi="Times New Roman" w:cs="Times New Roman"/>
        </w:rPr>
        <w:t xml:space="preserve">Student evaluation of teaching. </w:t>
      </w:r>
      <w:r w:rsidR="00AF0A44" w:rsidRPr="00FF78B2">
        <w:rPr>
          <w:rFonts w:ascii="Times New Roman" w:hAnsi="Times New Roman" w:cs="Times New Roman"/>
        </w:rPr>
        <w:t xml:space="preserve"> </w:t>
      </w:r>
      <w:r w:rsidR="00333036" w:rsidRPr="00FF78B2">
        <w:rPr>
          <w:rFonts w:ascii="Times New Roman" w:hAnsi="Times New Roman" w:cs="Times New Roman"/>
        </w:rPr>
        <w:t>Pursuant to section</w:t>
      </w:r>
      <w:r w:rsidR="005339FB" w:rsidRPr="00FF78B2">
        <w:rPr>
          <w:rFonts w:ascii="Times New Roman" w:hAnsi="Times New Roman" w:cs="Times New Roman"/>
        </w:rPr>
        <w:t xml:space="preserve"> </w:t>
      </w:r>
      <w:r w:rsidR="00333036" w:rsidRPr="00FF78B2">
        <w:rPr>
          <w:rFonts w:ascii="Times New Roman" w:hAnsi="Times New Roman" w:cs="Times New Roman"/>
        </w:rPr>
        <w:t>3345.451 of the Revised Code, student</w:t>
      </w:r>
      <w:r w:rsidR="00333036" w:rsidRPr="00BB605A">
        <w:rPr>
          <w:rFonts w:ascii="Times New Roman" w:hAnsi="Times New Roman" w:cs="Times New Roman"/>
        </w:rPr>
        <w:t xml:space="preserve"> evaluations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conducted by university administration account for at least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twenty-five per</w:t>
      </w:r>
      <w:r w:rsidR="00AF0A44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the teaching area component of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evaluation.</w:t>
      </w:r>
      <w:r>
        <w:rPr>
          <w:rFonts w:ascii="Times New Roman" w:hAnsi="Times New Roman" w:cs="Times New Roman"/>
        </w:rPr>
        <w:t xml:space="preserve">  </w:t>
      </w:r>
    </w:p>
    <w:p w14:paraId="6350AB68" w14:textId="77777777" w:rsidR="00B94C68" w:rsidRDefault="00B94C68" w:rsidP="00BE39EE">
      <w:pPr>
        <w:spacing w:before="240"/>
        <w:ind w:left="360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(a)</w:t>
      </w:r>
      <w:r>
        <w:rPr>
          <w:rFonts w:ascii="Times New Roman" w:hAnsi="Times New Roman" w:cs="Times New Roman"/>
          <w:i/>
          <w:iCs/>
        </w:rPr>
        <w:tab/>
      </w:r>
      <w:r w:rsidR="00333036" w:rsidRPr="008C1F50">
        <w:rPr>
          <w:rFonts w:ascii="Times New Roman" w:hAnsi="Times New Roman" w:cs="Times New Roman"/>
        </w:rPr>
        <w:t>Each faculty member will be evaluated for</w:t>
      </w:r>
      <w:r w:rsid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each</w:t>
      </w:r>
      <w:r w:rsidR="005339FB" w:rsidRP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course each semester.</w:t>
      </w:r>
      <w:r w:rsid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 xml:space="preserve"> To be excluded from this</w:t>
      </w:r>
      <w:r w:rsidR="005339FB" w:rsidRP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requirement, prior approval must be sought from the</w:t>
      </w:r>
      <w:r w:rsidR="005339FB" w:rsidRP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chair, dean, and provost.</w:t>
      </w:r>
      <w:r>
        <w:rPr>
          <w:rFonts w:ascii="Times New Roman" w:hAnsi="Times New Roman" w:cs="Times New Roman"/>
        </w:rPr>
        <w:t xml:space="preserve">  </w:t>
      </w:r>
    </w:p>
    <w:p w14:paraId="6AD51230" w14:textId="52D57E07" w:rsidR="008C0C3B" w:rsidRDefault="00B94C68" w:rsidP="00BE39EE">
      <w:pPr>
        <w:spacing w:before="240"/>
        <w:ind w:left="360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(b)</w:t>
      </w:r>
      <w:r>
        <w:rPr>
          <w:rFonts w:ascii="Times New Roman" w:hAnsi="Times New Roman" w:cs="Times New Roman"/>
          <w:i/>
          <w:iCs/>
        </w:rPr>
        <w:tab/>
      </w:r>
      <w:r w:rsidR="00333036" w:rsidRPr="00BB605A">
        <w:rPr>
          <w:rFonts w:ascii="Times New Roman" w:hAnsi="Times New Roman" w:cs="Times New Roman"/>
        </w:rPr>
        <w:t>Faculty members who team-teach</w:t>
      </w:r>
      <w:r w:rsidR="00CC4CC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be evaluated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individually on the</w:t>
      </w:r>
      <w:r w:rsidR="00CC4CC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same basis as a faculty member</w:t>
      </w:r>
      <w:r w:rsidR="00CC4CC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teaching a course individually.</w:t>
      </w:r>
      <w:r w:rsidR="008C0C3B">
        <w:rPr>
          <w:rFonts w:ascii="Times New Roman" w:hAnsi="Times New Roman" w:cs="Times New Roman"/>
        </w:rPr>
        <w:t xml:space="preserve">  </w:t>
      </w:r>
    </w:p>
    <w:p w14:paraId="249AA765" w14:textId="46D7BE29" w:rsidR="008C0C3B" w:rsidRDefault="0067742C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Chair and/or dean observation of teaching.</w:t>
      </w:r>
      <w:r w:rsidR="00B77B50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Chairs/</w:t>
      </w:r>
      <w:r w:rsidR="006D2E5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directors and/or deans may, at their </w:t>
      </w:r>
      <w:r w:rsidR="000365AC">
        <w:rPr>
          <w:rFonts w:ascii="Times New Roman" w:hAnsi="Times New Roman" w:cs="Times New Roman"/>
        </w:rPr>
        <w:t>d</w:t>
      </w:r>
      <w:r w:rsidR="00333036" w:rsidRPr="00BB605A">
        <w:rPr>
          <w:rFonts w:ascii="Times New Roman" w:hAnsi="Times New Roman" w:cs="Times New Roman"/>
        </w:rPr>
        <w:t>iscretion, use in-class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or online observations of teaching in the process of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completing their evaluation of faculty.</w:t>
      </w:r>
      <w:r w:rsidR="00B77B50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Chairs/school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directors and/</w:t>
      </w:r>
      <w:r w:rsidR="000365A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or deans will determine the frequency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timing of observations.</w:t>
      </w:r>
      <w:r w:rsidR="008C0C3B">
        <w:rPr>
          <w:rFonts w:ascii="Times New Roman" w:hAnsi="Times New Roman" w:cs="Times New Roman"/>
        </w:rPr>
        <w:t xml:space="preserve">  </w:t>
      </w:r>
    </w:p>
    <w:p w14:paraId="57C1F9BB" w14:textId="7552B9CF" w:rsidR="008C0C3B" w:rsidRDefault="0067742C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Peer evaluation.  An informative summary of the peer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evaluations should be included within the annual evaluation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of faculty performance. </w:t>
      </w:r>
      <w:r w:rsidR="00446DCD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This summary, compiled by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chair/school director, should be a</w:t>
      </w:r>
      <w:r w:rsidR="00446DCD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standalone summary that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does not factor into the evaluation rubric or resulting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summary assessment</w:t>
      </w:r>
      <w:r w:rsidR="008B2CBE">
        <w:rPr>
          <w:rFonts w:ascii="Times New Roman" w:hAnsi="Times New Roman" w:cs="Times New Roman"/>
        </w:rPr>
        <w:t>.</w:t>
      </w:r>
      <w:r w:rsidR="008C0C3B">
        <w:rPr>
          <w:rFonts w:ascii="Times New Roman" w:hAnsi="Times New Roman" w:cs="Times New Roman"/>
        </w:rPr>
        <w:t xml:space="preserve">  </w:t>
      </w:r>
    </w:p>
    <w:p w14:paraId="7B7002B1" w14:textId="77777777" w:rsidR="005D5680" w:rsidRDefault="005D5680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 xml:space="preserve">Non-teaching hours.  </w:t>
      </w:r>
      <w:r w:rsidR="00333036" w:rsidRPr="004302EC">
        <w:rPr>
          <w:rFonts w:ascii="Times New Roman" w:hAnsi="Times New Roman" w:cs="Times New Roman"/>
        </w:rPr>
        <w:t>Section 3345.452 of the Revised Code</w:t>
      </w:r>
      <w:r w:rsidR="00F239E1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requires that workload for activities other than </w:t>
      </w:r>
      <w:r w:rsidR="00333036" w:rsidRPr="00BB605A">
        <w:rPr>
          <w:rFonts w:ascii="Times New Roman" w:hAnsi="Times New Roman" w:cs="Times New Roman"/>
        </w:rPr>
        <w:lastRenderedPageBreak/>
        <w:t>teaching shall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include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expectations to serve as the basis for the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evaluations. 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 this requirement, and because all full-time faculty are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assumed to have an annual load of thirty credit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hours, tenured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tenure track faculty must account for the six annual hours of non</w:t>
      </w:r>
      <w:r w:rsidR="005339FB" w:rsidRPr="00BB605A">
        <w:rPr>
          <w:rFonts w:ascii="Times New Roman" w:hAnsi="Times New Roman" w:cs="Times New Roman"/>
        </w:rPr>
        <w:t>-</w:t>
      </w:r>
      <w:r w:rsidR="00333036" w:rsidRPr="00BB605A">
        <w:rPr>
          <w:rFonts w:ascii="Times New Roman" w:hAnsi="Times New Roman" w:cs="Times New Roman"/>
        </w:rPr>
        <w:t>teaching hours that, when added to the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twenty-four instructional credit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hours, equals the thirty annual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credit hours.</w:t>
      </w:r>
      <w:r>
        <w:rPr>
          <w:rFonts w:ascii="Times New Roman" w:hAnsi="Times New Roman" w:cs="Times New Roman"/>
        </w:rPr>
        <w:t xml:space="preserve">  </w:t>
      </w:r>
    </w:p>
    <w:p w14:paraId="790C5EDF" w14:textId="45545D64" w:rsidR="00000025" w:rsidRDefault="00333036" w:rsidP="00BE39EE">
      <w:pPr>
        <w:spacing w:before="240"/>
        <w:ind w:left="2160" w:right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In addition, all faculty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members must account for any reassigned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time approved by the dean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and/or provost that results in an annual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instructional load less than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twenty-four credit hours for tenured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and tenure track and less than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thirty credit hours for non-tenure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track full-time faculty members.</w:t>
      </w:r>
      <w:r w:rsidR="00CA6F8C">
        <w:rPr>
          <w:rFonts w:ascii="Times New Roman" w:hAnsi="Times New Roman" w:cs="Times New Roman"/>
        </w:rPr>
        <w:t xml:space="preserve">  </w:t>
      </w:r>
      <w:r w:rsidRPr="00BB605A">
        <w:rPr>
          <w:rFonts w:ascii="Times New Roman" w:hAnsi="Times New Roman" w:cs="Times New Roman"/>
        </w:rPr>
        <w:t>The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assessment of activities</w:t>
      </w:r>
      <w:r w:rsidR="00AD549E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supported by reassigned workload will be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based on materials</w:t>
      </w:r>
      <w:r w:rsidR="00AD549E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submitted by faculty members.  These categories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include:</w:t>
      </w:r>
      <w:r w:rsidR="005D5680">
        <w:rPr>
          <w:rFonts w:ascii="Times New Roman" w:hAnsi="Times New Roman" w:cs="Times New Roman"/>
        </w:rPr>
        <w:t xml:space="preserve">  </w:t>
      </w:r>
    </w:p>
    <w:p w14:paraId="5E88CA93" w14:textId="33A9180C" w:rsidR="00762F01" w:rsidRDefault="005D5680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Research, scholarship, commercialization, and creative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activity.  Applies to tenured and tenure track faculty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members. 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rare instance that reassigned time is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provided to non-tenure track faculty and equates to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greater than five per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total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academic year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workload, this section will also apply.</w:t>
      </w:r>
      <w:r w:rsidR="00762F01">
        <w:rPr>
          <w:rFonts w:ascii="Times New Roman" w:hAnsi="Times New Roman" w:cs="Times New Roman"/>
        </w:rPr>
        <w:t xml:space="preserve">  </w:t>
      </w:r>
    </w:p>
    <w:p w14:paraId="6EB25685" w14:textId="77777777" w:rsidR="00762F01" w:rsidRDefault="00762F01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Service.  Applies to principal lecturers, tenured,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tenure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track faculty members. 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the instance that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reassigned time is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provided to other non-tenure track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faculty and equates to greater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than five per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total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calendar year workload, this section will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also apply.</w:t>
      </w:r>
      <w:r>
        <w:rPr>
          <w:rFonts w:ascii="Times New Roman" w:hAnsi="Times New Roman" w:cs="Times New Roman"/>
        </w:rPr>
        <w:t xml:space="preserve">  </w:t>
      </w:r>
    </w:p>
    <w:p w14:paraId="1FEA12E8" w14:textId="3ABD3E27" w:rsidR="00333036" w:rsidRDefault="00762F01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Other</w:t>
      </w:r>
      <w:r w:rsidR="00521EF0">
        <w:rPr>
          <w:rFonts w:ascii="Times New Roman" w:hAnsi="Times New Roman" w:cs="Times New Roman"/>
        </w:rPr>
        <w:t>.  R</w:t>
      </w:r>
      <w:r w:rsidR="00333036" w:rsidRPr="00BB605A">
        <w:rPr>
          <w:rFonts w:ascii="Times New Roman" w:hAnsi="Times New Roman" w:cs="Times New Roman"/>
        </w:rPr>
        <w:t>eassigned activities other than teaching;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research,</w:t>
      </w:r>
      <w:r w:rsidR="00521EF0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scholarship, commercialization, creative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activity; or service. 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When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these activities account for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greater than five per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total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academic yea</w:t>
      </w:r>
      <w:r w:rsidR="005339FB" w:rsidRPr="00BB605A">
        <w:rPr>
          <w:rFonts w:ascii="Times New Roman" w:hAnsi="Times New Roman" w:cs="Times New Roman"/>
        </w:rPr>
        <w:t xml:space="preserve">r </w:t>
      </w:r>
      <w:r w:rsidR="00333036" w:rsidRPr="00BB605A">
        <w:rPr>
          <w:rFonts w:ascii="Times New Roman" w:hAnsi="Times New Roman" w:cs="Times New Roman"/>
        </w:rPr>
        <w:t>workload, a clear description of the project or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assigned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administrative duty expectations and accomplishments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be included.</w:t>
      </w:r>
      <w:r w:rsidR="0020483B">
        <w:rPr>
          <w:rFonts w:ascii="Times New Roman" w:hAnsi="Times New Roman" w:cs="Times New Roman"/>
        </w:rPr>
        <w:t xml:space="preserve">  </w:t>
      </w:r>
    </w:p>
    <w:p w14:paraId="059AA088" w14:textId="77777777" w:rsidR="0020483B" w:rsidRDefault="0020483B" w:rsidP="00BE39EE">
      <w:pPr>
        <w:spacing w:before="240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Results.</w:t>
      </w:r>
      <w:r>
        <w:rPr>
          <w:rFonts w:ascii="Times New Roman" w:hAnsi="Times New Roman" w:cs="Times New Roman"/>
        </w:rPr>
        <w:t xml:space="preserve">  </w:t>
      </w:r>
    </w:p>
    <w:p w14:paraId="268FF43C" w14:textId="77777777" w:rsidR="00F72310" w:rsidRDefault="0020483B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annual faculty assessment results shall be a factor for workload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assignment for the following year and for the subsequent year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evaluation.</w:t>
      </w:r>
      <w:r w:rsidR="00F72310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Therefore, workload reports for the year of the annual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 and workload plans for the following year shall be included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 part of the annual evaluation.</w:t>
      </w:r>
      <w:r w:rsidR="00F72310">
        <w:rPr>
          <w:rFonts w:ascii="Times New Roman" w:hAnsi="Times New Roman" w:cs="Times New Roman"/>
        </w:rPr>
        <w:t xml:space="preserve">  </w:t>
      </w:r>
    </w:p>
    <w:p w14:paraId="3E805425" w14:textId="77777777" w:rsidR="00F72310" w:rsidRPr="004302EC" w:rsidRDefault="00333036" w:rsidP="00BE39EE">
      <w:pPr>
        <w:spacing w:before="240"/>
        <w:ind w:left="1440" w:right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All workload assignments must be compliant with YSU’s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established workload</w:t>
      </w:r>
      <w:r w:rsidR="00F72310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policies as directed by rule 3356-10-20 of</w:t>
      </w:r>
      <w:r w:rsidR="005339FB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the Administrative Code, “Faculty workload policy,” and</w:t>
      </w:r>
      <w:r w:rsidR="005339FB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adopted under section 3345.45 of the Revised Code and receive</w:t>
      </w:r>
      <w:r w:rsidR="005339FB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approval from the respective dean and the provost.</w:t>
      </w:r>
      <w:r w:rsidR="00F72310" w:rsidRPr="004302EC">
        <w:rPr>
          <w:rFonts w:ascii="Times New Roman" w:hAnsi="Times New Roman" w:cs="Times New Roman"/>
        </w:rPr>
        <w:t xml:space="preserve">  </w:t>
      </w:r>
    </w:p>
    <w:p w14:paraId="11021BF1" w14:textId="77777777" w:rsidR="00114CF8" w:rsidRPr="004302EC" w:rsidRDefault="00114CF8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4302EC">
        <w:rPr>
          <w:rFonts w:ascii="Times New Roman" w:hAnsi="Times New Roman" w:cs="Times New Roman"/>
        </w:rPr>
        <w:t>(2)</w:t>
      </w:r>
      <w:r w:rsidRPr="004302EC">
        <w:rPr>
          <w:rFonts w:ascii="Times New Roman" w:hAnsi="Times New Roman" w:cs="Times New Roman"/>
        </w:rPr>
        <w:tab/>
      </w:r>
      <w:r w:rsidR="00333036" w:rsidRPr="004302EC">
        <w:rPr>
          <w:rFonts w:ascii="Times New Roman" w:hAnsi="Times New Roman" w:cs="Times New Roman"/>
        </w:rPr>
        <w:t>If any faculty member receives an assessment of “does not meet</w:t>
      </w:r>
      <w:r w:rsidR="00F84C85"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expectations” in any area, specific recommendations for how the</w:t>
      </w:r>
      <w:r w:rsidR="00F84C85"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shortcomings</w:t>
      </w:r>
      <w:r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should be corrected and a timeline by which they should</w:t>
      </w:r>
      <w:r w:rsidR="00F84C85"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be addressed will be provided.</w:t>
      </w:r>
      <w:r w:rsidRPr="004302EC">
        <w:rPr>
          <w:rFonts w:ascii="Times New Roman" w:hAnsi="Times New Roman" w:cs="Times New Roman"/>
        </w:rPr>
        <w:t xml:space="preserve">  </w:t>
      </w:r>
    </w:p>
    <w:p w14:paraId="67359D85" w14:textId="4A5EBEE3" w:rsidR="00333036" w:rsidRDefault="00333036" w:rsidP="00BE39EE">
      <w:pPr>
        <w:spacing w:before="240"/>
        <w:ind w:left="1440" w:right="720"/>
        <w:rPr>
          <w:rFonts w:ascii="Times New Roman" w:hAnsi="Times New Roman" w:cs="Times New Roman"/>
        </w:rPr>
      </w:pPr>
      <w:r w:rsidRPr="004302EC">
        <w:rPr>
          <w:rFonts w:ascii="Times New Roman" w:hAnsi="Times New Roman" w:cs="Times New Roman"/>
        </w:rPr>
        <w:t>Any tenured faculty member who receives an evaluation of</w:t>
      </w:r>
      <w:r w:rsidR="00F84C85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“does not meet</w:t>
      </w:r>
      <w:r w:rsidR="00114CF8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expectations” in teaching, scholarship, or</w:t>
      </w:r>
      <w:r w:rsidR="00F84C85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university service may be evaluated</w:t>
      </w:r>
      <w:r w:rsidR="00114CF8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according to rule 3356-10-31 of the Administrative Code, “Faculty post-tenure review</w:t>
      </w:r>
      <w:r w:rsidR="00F84C85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policy.”</w:t>
      </w:r>
      <w:r w:rsidR="00A86215">
        <w:rPr>
          <w:rFonts w:ascii="Times New Roman" w:hAnsi="Times New Roman" w:cs="Times New Roman"/>
        </w:rPr>
        <w:t xml:space="preserve">  </w:t>
      </w:r>
    </w:p>
    <w:p w14:paraId="19EE00AE" w14:textId="3973D538" w:rsidR="00333036" w:rsidRDefault="00A86215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Timeline.</w:t>
      </w:r>
      <w:r>
        <w:rPr>
          <w:rFonts w:ascii="Times New Roman" w:hAnsi="Times New Roman" w:cs="Times New Roman"/>
        </w:rPr>
        <w:t xml:space="preserve">  </w:t>
      </w:r>
    </w:p>
    <w:p w14:paraId="4F9B3047" w14:textId="08C2CA91" w:rsidR="00333036" w:rsidRDefault="00A86215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faculty member shall submit their completed portion of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annual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evaluation to the department chair/</w:t>
      </w:r>
      <w:r w:rsidR="000F06AD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director by May </w:t>
      </w:r>
      <w:r w:rsidR="003D4537">
        <w:rPr>
          <w:rFonts w:ascii="Times New Roman" w:hAnsi="Times New Roman" w:cs="Times New Roman"/>
        </w:rPr>
        <w:t xml:space="preserve">twentieth </w:t>
      </w:r>
      <w:r w:rsidR="00333036" w:rsidRPr="00BB605A">
        <w:rPr>
          <w:rFonts w:ascii="Times New Roman" w:hAnsi="Times New Roman" w:cs="Times New Roman"/>
        </w:rPr>
        <w:t>of each</w:t>
      </w:r>
      <w:r w:rsidR="006E6FD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calendar year.</w:t>
      </w:r>
      <w:r w:rsidR="000F06AD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This date allows time for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spring student evaluations to be</w:t>
      </w:r>
      <w:r w:rsidR="003D4537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returned, reviewed, and included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the evaluation materials submitted by the</w:t>
      </w:r>
      <w:r w:rsidR="003D4537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faculty member.</w:t>
      </w:r>
    </w:p>
    <w:p w14:paraId="50A14740" w14:textId="146D4BBF" w:rsidR="00333036" w:rsidRDefault="00BE5BA0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 xml:space="preserve">If a faculty member misses the May </w:t>
      </w:r>
      <w:r>
        <w:rPr>
          <w:rFonts w:ascii="Times New Roman" w:hAnsi="Times New Roman" w:cs="Times New Roman"/>
        </w:rPr>
        <w:t>twentieth</w:t>
      </w:r>
      <w:r w:rsidR="00333036" w:rsidRPr="00BB605A">
        <w:rPr>
          <w:rFonts w:ascii="Times New Roman" w:hAnsi="Times New Roman" w:cs="Times New Roman"/>
        </w:rPr>
        <w:t xml:space="preserve"> deadline,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 will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proceed through all steps and placed in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faculty success technology platform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(FSTP).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Because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chairs/school directors and deans will not assume any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information, they will be required to assess each area as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“does not meet expectations.”</w:t>
      </w:r>
    </w:p>
    <w:p w14:paraId="203CCDB4" w14:textId="3665B8C4" w:rsidR="00333036" w:rsidRDefault="005D4193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Faculty members on leave, including FMLA, can work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with their chair and dean to determine an acceptable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deadline for the annual evaluation.</w:t>
      </w:r>
      <w:r>
        <w:rPr>
          <w:rFonts w:ascii="Times New Roman" w:hAnsi="Times New Roman" w:cs="Times New Roman"/>
        </w:rPr>
        <w:t xml:space="preserve">  </w:t>
      </w:r>
    </w:p>
    <w:p w14:paraId="028603B4" w14:textId="1DC3A81A" w:rsidR="00333036" w:rsidRDefault="005D4193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 xml:space="preserve">Faculty members on </w:t>
      </w:r>
      <w:r>
        <w:rPr>
          <w:rFonts w:ascii="Times New Roman" w:hAnsi="Times New Roman" w:cs="Times New Roman"/>
        </w:rPr>
        <w:t>s</w:t>
      </w:r>
      <w:r w:rsidR="00333036" w:rsidRPr="00BB605A">
        <w:rPr>
          <w:rFonts w:ascii="Times New Roman" w:hAnsi="Times New Roman" w:cs="Times New Roman"/>
        </w:rPr>
        <w:t xml:space="preserve">abbaticals and </w:t>
      </w:r>
      <w:r>
        <w:rPr>
          <w:rFonts w:ascii="Times New Roman" w:hAnsi="Times New Roman" w:cs="Times New Roman"/>
        </w:rPr>
        <w:t>f</w:t>
      </w:r>
      <w:r w:rsidR="00333036" w:rsidRPr="00BB605A">
        <w:rPr>
          <w:rFonts w:ascii="Times New Roman" w:hAnsi="Times New Roman" w:cs="Times New Roman"/>
        </w:rPr>
        <w:t xml:space="preserve">aculty </w:t>
      </w:r>
      <w:r>
        <w:rPr>
          <w:rFonts w:ascii="Times New Roman" w:hAnsi="Times New Roman" w:cs="Times New Roman"/>
        </w:rPr>
        <w:t>i</w:t>
      </w:r>
      <w:r w:rsidR="00333036" w:rsidRPr="00BB605A">
        <w:rPr>
          <w:rFonts w:ascii="Times New Roman" w:hAnsi="Times New Roman" w:cs="Times New Roman"/>
        </w:rPr>
        <w:t>mprovement</w:t>
      </w:r>
      <w:r w:rsidR="00F84C85" w:rsidRPr="00BB6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333036" w:rsidRPr="00BB605A">
        <w:rPr>
          <w:rFonts w:ascii="Times New Roman" w:hAnsi="Times New Roman" w:cs="Times New Roman"/>
        </w:rPr>
        <w:t>eaves shall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submit their annual faculty evaluation in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addition to the required reports in the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YSU/YSU-OEA</w:t>
      </w:r>
      <w:r w:rsidR="00F84C85" w:rsidRPr="00BB605A">
        <w:rPr>
          <w:rFonts w:ascii="Times New Roman" w:hAnsi="Times New Roman" w:cs="Times New Roman"/>
        </w:rPr>
        <w:t xml:space="preserve"> </w:t>
      </w:r>
      <w:r w:rsidR="00D3150F">
        <w:rPr>
          <w:rFonts w:ascii="Times New Roman" w:hAnsi="Times New Roman" w:cs="Times New Roman"/>
        </w:rPr>
        <w:t>a</w:t>
      </w:r>
      <w:r w:rsidR="00333036" w:rsidRPr="00BB605A">
        <w:rPr>
          <w:rFonts w:ascii="Times New Roman" w:hAnsi="Times New Roman" w:cs="Times New Roman"/>
        </w:rPr>
        <w:t>greement.</w:t>
      </w:r>
    </w:p>
    <w:p w14:paraId="6A48C31D" w14:textId="6F2D42B9" w:rsidR="00333036" w:rsidRDefault="00D3150F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C728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evaluation shall be conducted by the department chair/</w:t>
      </w:r>
      <w:r w:rsidR="009A7060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director, reviewed and approved by the dean, and submitted to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provost for final review.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In cases where there is disagreement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between the chair or director and the dean, the provost shall serve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 the final decision authority.</w:t>
      </w:r>
    </w:p>
    <w:p w14:paraId="04722E9F" w14:textId="5234E231" w:rsidR="00333036" w:rsidRDefault="008D496C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C728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Performance evaluation assessments, including any comments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from the department chair/school director and dean, will be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available to faculty members before the beginning of the following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fall term.</w:t>
      </w:r>
      <w:r>
        <w:rPr>
          <w:rFonts w:ascii="Times New Roman" w:hAnsi="Times New Roman" w:cs="Times New Roman"/>
        </w:rPr>
        <w:t xml:space="preserve">  </w:t>
      </w:r>
    </w:p>
    <w:p w14:paraId="7D0FD534" w14:textId="3894EC94" w:rsidR="00333036" w:rsidRDefault="008D496C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7432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Appeals.  If a faculty member wishes to appeal the final annual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evaluation assessment, the faculty member may do so by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submitting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an appeal application in the FSTP within fifteen days of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receiving the final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assessment.  Appeal applications are provided by</w:t>
      </w:r>
      <w:r w:rsidR="00F84C85" w:rsidRPr="00BB605A">
        <w:rPr>
          <w:rFonts w:ascii="Times New Roman" w:hAnsi="Times New Roman" w:cs="Times New Roman"/>
        </w:rPr>
        <w:t xml:space="preserve"> </w:t>
      </w:r>
      <w:r w:rsidR="00B2153C">
        <w:rPr>
          <w:rFonts w:ascii="Times New Roman" w:hAnsi="Times New Roman" w:cs="Times New Roman"/>
        </w:rPr>
        <w:t xml:space="preserve">the </w:t>
      </w:r>
      <w:r w:rsidR="00F45129">
        <w:rPr>
          <w:rFonts w:ascii="Times New Roman" w:hAnsi="Times New Roman" w:cs="Times New Roman"/>
        </w:rPr>
        <w:t xml:space="preserve">institute for </w:t>
      </w:r>
      <w:r w:rsidR="00B2153C">
        <w:rPr>
          <w:rFonts w:ascii="Times New Roman" w:hAnsi="Times New Roman" w:cs="Times New Roman"/>
        </w:rPr>
        <w:t>teaching and learning (</w:t>
      </w:r>
      <w:r w:rsidR="00333036" w:rsidRPr="00BB605A">
        <w:rPr>
          <w:rFonts w:ascii="Times New Roman" w:hAnsi="Times New Roman" w:cs="Times New Roman"/>
        </w:rPr>
        <w:t>ITL</w:t>
      </w:r>
      <w:r w:rsidR="00B2153C">
        <w:rPr>
          <w:rFonts w:ascii="Times New Roman" w:hAnsi="Times New Roman" w:cs="Times New Roman"/>
        </w:rPr>
        <w:t>)</w:t>
      </w:r>
      <w:r w:rsidR="00333036" w:rsidRPr="00BB605A">
        <w:rPr>
          <w:rFonts w:ascii="Times New Roman" w:hAnsi="Times New Roman" w:cs="Times New Roman"/>
        </w:rPr>
        <w:t xml:space="preserve"> at the request of the faculty member.</w:t>
      </w:r>
      <w:r w:rsidR="00B2153C">
        <w:rPr>
          <w:rFonts w:ascii="Times New Roman" w:hAnsi="Times New Roman" w:cs="Times New Roman"/>
        </w:rPr>
        <w:t xml:space="preserve">  </w:t>
      </w:r>
    </w:p>
    <w:p w14:paraId="42914203" w14:textId="3F3F9C26" w:rsidR="0029750D" w:rsidRDefault="005A4862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B2F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Upon receipt of the appeals request, a five-member review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be formed.  The committee shall be comprised of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three representatives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appointed by the provost and two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representatives appointed by the </w:t>
      </w:r>
      <w:r>
        <w:rPr>
          <w:rFonts w:ascii="Times New Roman" w:hAnsi="Times New Roman" w:cs="Times New Roman"/>
        </w:rPr>
        <w:t>p</w:t>
      </w:r>
      <w:r w:rsidR="00333036" w:rsidRPr="00BB605A">
        <w:rPr>
          <w:rFonts w:ascii="Times New Roman" w:hAnsi="Times New Roman" w:cs="Times New Roman"/>
        </w:rPr>
        <w:t>resident of the</w:t>
      </w:r>
      <w:r>
        <w:rPr>
          <w:rFonts w:ascii="Times New Roman" w:hAnsi="Times New Roman" w:cs="Times New Roman"/>
        </w:rPr>
        <w:t xml:space="preserve"> a</w:t>
      </w:r>
      <w:r w:rsidR="00333036" w:rsidRPr="00BB605A">
        <w:rPr>
          <w:rFonts w:ascii="Times New Roman" w:hAnsi="Times New Roman" w:cs="Times New Roman"/>
        </w:rPr>
        <w:t xml:space="preserve">ssociation. 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Committee members may not be from the appellant’s academic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department.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committee will be formed within fifteen days of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receiving the appeals request.</w:t>
      </w:r>
      <w:r w:rsidR="0029750D">
        <w:rPr>
          <w:rFonts w:ascii="Times New Roman" w:hAnsi="Times New Roman" w:cs="Times New Roman"/>
        </w:rPr>
        <w:t xml:space="preserve">  </w:t>
      </w:r>
    </w:p>
    <w:p w14:paraId="60ECE964" w14:textId="2B5445E3" w:rsidR="00681E51" w:rsidRDefault="0029750D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B2FEE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faculty member has the right to submit to the appeal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committee a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written rebuttal of the assessment(s).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committee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meet with the appellant, department chair/school director,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dean, and any other persons it deems appropriate and shall submit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 recommendation to the provost within thirty calendar days.</w:t>
      </w:r>
      <w:r w:rsidR="00F84C85" w:rsidRPr="00BB605A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 xml:space="preserve">Should the appeals panel fail </w:t>
      </w:r>
      <w:r w:rsidR="00333036" w:rsidRPr="00BB605A">
        <w:rPr>
          <w:rFonts w:ascii="Times New Roman" w:hAnsi="Times New Roman" w:cs="Times New Roman"/>
        </w:rPr>
        <w:lastRenderedPageBreak/>
        <w:t>to submit a recommendation within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prescribed deadline, the provost’s decision shall stand.</w:t>
      </w:r>
    </w:p>
    <w:p w14:paraId="2F843167" w14:textId="13C0175B" w:rsidR="00681E51" w:rsidRDefault="00681E51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D093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Policy review cycle.  The provost’s office is responsible for this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policy.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At a minimum, this policy will be reviewed every five years.</w:t>
      </w:r>
      <w:r>
        <w:rPr>
          <w:rFonts w:ascii="Times New Roman" w:hAnsi="Times New Roman" w:cs="Times New Roman"/>
        </w:rPr>
        <w:t xml:space="preserve">  </w:t>
      </w:r>
    </w:p>
    <w:p w14:paraId="0B48F2BB" w14:textId="5BB8FE9C" w:rsidR="00996CF1" w:rsidRDefault="00681E51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D093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YSU shall not bargain faculty annual performance evaluation policies.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This policy applies, not withstanding, any contrary provision in a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collective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bargaining agreement </w:t>
      </w:r>
      <w:bookmarkStart w:id="1" w:name="_Int_dsnciita"/>
      <w:r w:rsidR="00333036" w:rsidRPr="00BB605A">
        <w:rPr>
          <w:rFonts w:ascii="Times New Roman" w:hAnsi="Times New Roman" w:cs="Times New Roman"/>
        </w:rPr>
        <w:t>entered into</w:t>
      </w:r>
      <w:bookmarkEnd w:id="1"/>
      <w:r w:rsidR="00333036" w:rsidRPr="00BB605A">
        <w:rPr>
          <w:rFonts w:ascii="Times New Roman" w:hAnsi="Times New Roman" w:cs="Times New Roman"/>
        </w:rPr>
        <w:t xml:space="preserve"> on or after the statute’s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effective date.</w:t>
      </w:r>
      <w:r>
        <w:rPr>
          <w:rFonts w:ascii="Times New Roman" w:hAnsi="Times New Roman" w:cs="Times New Roman"/>
        </w:rPr>
        <w:t xml:space="preserve">  </w:t>
      </w:r>
    </w:p>
    <w:p w14:paraId="23448EAF" w14:textId="77777777" w:rsidR="00755AAA" w:rsidRDefault="001F330C" w:rsidP="00BE39EE">
      <w:pPr>
        <w:spacing w:before="240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Pr="001F330C">
        <w:rPr>
          <w:rFonts w:ascii="Times New Roman" w:hAnsi="Times New Roman" w:cs="Times New Roman"/>
        </w:rPr>
        <w:t xml:space="preserve">This policy is adopted by the </w:t>
      </w:r>
      <w:r w:rsidR="00755AAA">
        <w:rPr>
          <w:rFonts w:ascii="Times New Roman" w:hAnsi="Times New Roman" w:cs="Times New Roman"/>
        </w:rPr>
        <w:t>b</w:t>
      </w:r>
      <w:r w:rsidRPr="001F330C">
        <w:rPr>
          <w:rFonts w:ascii="Times New Roman" w:hAnsi="Times New Roman" w:cs="Times New Roman"/>
        </w:rPr>
        <w:t xml:space="preserve">oard of </w:t>
      </w:r>
      <w:r w:rsidR="00755AAA">
        <w:rPr>
          <w:rFonts w:ascii="Times New Roman" w:hAnsi="Times New Roman" w:cs="Times New Roman"/>
        </w:rPr>
        <w:t>t</w:t>
      </w:r>
      <w:r w:rsidRPr="001F330C">
        <w:rPr>
          <w:rFonts w:ascii="Times New Roman" w:hAnsi="Times New Roman" w:cs="Times New Roman"/>
        </w:rPr>
        <w:t xml:space="preserve">rustees pursuant to </w:t>
      </w:r>
      <w:r w:rsidR="00755AAA">
        <w:rPr>
          <w:rFonts w:ascii="Times New Roman" w:hAnsi="Times New Roman" w:cs="Times New Roman"/>
        </w:rPr>
        <w:t>s</w:t>
      </w:r>
      <w:r w:rsidRPr="001F330C">
        <w:rPr>
          <w:rFonts w:ascii="Times New Roman" w:hAnsi="Times New Roman" w:cs="Times New Roman"/>
        </w:rPr>
        <w:t xml:space="preserve">ection 3345.455 </w:t>
      </w:r>
      <w:r w:rsidR="00755AAA">
        <w:rPr>
          <w:rFonts w:ascii="Times New Roman" w:hAnsi="Times New Roman" w:cs="Times New Roman"/>
        </w:rPr>
        <w:t xml:space="preserve">of the Revised Code </w:t>
      </w:r>
      <w:r w:rsidRPr="001F330C">
        <w:rPr>
          <w:rFonts w:ascii="Times New Roman" w:hAnsi="Times New Roman" w:cs="Times New Roman"/>
        </w:rPr>
        <w:t xml:space="preserve">and per the directive of the </w:t>
      </w:r>
      <w:r w:rsidR="00755AAA">
        <w:rPr>
          <w:rFonts w:ascii="Times New Roman" w:hAnsi="Times New Roman" w:cs="Times New Roman"/>
        </w:rPr>
        <w:t>c</w:t>
      </w:r>
      <w:r w:rsidRPr="001F330C">
        <w:rPr>
          <w:rFonts w:ascii="Times New Roman" w:hAnsi="Times New Roman" w:cs="Times New Roman"/>
        </w:rPr>
        <w:t xml:space="preserve">hancellor of the </w:t>
      </w:r>
      <w:r w:rsidR="00755AAA">
        <w:rPr>
          <w:rFonts w:ascii="Times New Roman" w:hAnsi="Times New Roman" w:cs="Times New Roman"/>
        </w:rPr>
        <w:t>ODHE</w:t>
      </w:r>
      <w:r w:rsidRPr="001F330C">
        <w:rPr>
          <w:rFonts w:ascii="Times New Roman" w:hAnsi="Times New Roman" w:cs="Times New Roman"/>
        </w:rPr>
        <w:t>.  This policy becomes effective upon the earlier of</w:t>
      </w:r>
      <w:r w:rsidR="00755AAA">
        <w:rPr>
          <w:rFonts w:ascii="Times New Roman" w:hAnsi="Times New Roman" w:cs="Times New Roman"/>
        </w:rPr>
        <w:t xml:space="preserve">:  </w:t>
      </w:r>
    </w:p>
    <w:p w14:paraId="754F1C22" w14:textId="77777777" w:rsidR="00755AAA" w:rsidRDefault="00755AA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T</w:t>
      </w:r>
      <w:r w:rsidR="001F330C" w:rsidRPr="001F330C">
        <w:rPr>
          <w:rFonts w:ascii="Times New Roman" w:hAnsi="Times New Roman" w:cs="Times New Roman"/>
        </w:rPr>
        <w:t xml:space="preserve">he ratification or adoption of a new collective bargaining agreement replacing the </w:t>
      </w:r>
      <w:r>
        <w:rPr>
          <w:rFonts w:ascii="Times New Roman" w:hAnsi="Times New Roman" w:cs="Times New Roman"/>
        </w:rPr>
        <w:t>a</w:t>
      </w:r>
      <w:r w:rsidR="001F330C" w:rsidRPr="001F330C">
        <w:rPr>
          <w:rFonts w:ascii="Times New Roman" w:hAnsi="Times New Roman" w:cs="Times New Roman"/>
        </w:rPr>
        <w:t xml:space="preserve">greement between Youngstown </w:t>
      </w:r>
      <w:r>
        <w:rPr>
          <w:rFonts w:ascii="Times New Roman" w:hAnsi="Times New Roman" w:cs="Times New Roman"/>
        </w:rPr>
        <w:t>s</w:t>
      </w:r>
      <w:r w:rsidR="001F330C" w:rsidRPr="001F330C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1F330C" w:rsidRPr="001F330C">
        <w:rPr>
          <w:rFonts w:ascii="Times New Roman" w:hAnsi="Times New Roman" w:cs="Times New Roman"/>
        </w:rPr>
        <w:t xml:space="preserve">niversity and the Youngstown </w:t>
      </w:r>
      <w:r>
        <w:rPr>
          <w:rFonts w:ascii="Times New Roman" w:hAnsi="Times New Roman" w:cs="Times New Roman"/>
        </w:rPr>
        <w:t>s</w:t>
      </w:r>
      <w:r w:rsidR="001F330C" w:rsidRPr="001F330C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1F330C" w:rsidRPr="001F330C">
        <w:rPr>
          <w:rFonts w:ascii="Times New Roman" w:hAnsi="Times New Roman" w:cs="Times New Roman"/>
        </w:rPr>
        <w:t xml:space="preserve">niversity </w:t>
      </w:r>
      <w:r>
        <w:rPr>
          <w:rFonts w:ascii="Times New Roman" w:hAnsi="Times New Roman" w:cs="Times New Roman"/>
        </w:rPr>
        <w:t>c</w:t>
      </w:r>
      <w:r w:rsidR="001F330C" w:rsidRPr="001F330C">
        <w:rPr>
          <w:rFonts w:ascii="Times New Roman" w:hAnsi="Times New Roman" w:cs="Times New Roman"/>
        </w:rPr>
        <w:t xml:space="preserve">hapter of </w:t>
      </w:r>
      <w:r>
        <w:rPr>
          <w:rFonts w:ascii="Times New Roman" w:hAnsi="Times New Roman" w:cs="Times New Roman"/>
        </w:rPr>
        <w:t>t</w:t>
      </w:r>
      <w:r w:rsidR="001F330C" w:rsidRPr="001F330C">
        <w:rPr>
          <w:rFonts w:ascii="Times New Roman" w:hAnsi="Times New Roman" w:cs="Times New Roman"/>
        </w:rPr>
        <w:t xml:space="preserve">he Ohio </w:t>
      </w:r>
      <w:r>
        <w:rPr>
          <w:rFonts w:ascii="Times New Roman" w:hAnsi="Times New Roman" w:cs="Times New Roman"/>
        </w:rPr>
        <w:t>e</w:t>
      </w:r>
      <w:r w:rsidR="001F330C" w:rsidRPr="001F330C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a</w:t>
      </w:r>
      <w:r w:rsidR="001F330C" w:rsidRPr="001F330C">
        <w:rPr>
          <w:rFonts w:ascii="Times New Roman" w:hAnsi="Times New Roman" w:cs="Times New Roman"/>
        </w:rPr>
        <w:t>ssociation, 2023</w:t>
      </w:r>
      <w:r>
        <w:rPr>
          <w:rFonts w:ascii="Times New Roman" w:hAnsi="Times New Roman" w:cs="Times New Roman"/>
        </w:rPr>
        <w:t xml:space="preserve"> to </w:t>
      </w:r>
      <w:r w:rsidR="001F330C" w:rsidRPr="001F330C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;</w:t>
      </w:r>
      <w:r w:rsidR="001F330C" w:rsidRPr="001F330C">
        <w:rPr>
          <w:rFonts w:ascii="Times New Roman" w:hAnsi="Times New Roman" w:cs="Times New Roman"/>
        </w:rPr>
        <w:t> or</w:t>
      </w:r>
    </w:p>
    <w:p w14:paraId="307CC260" w14:textId="7433B0D3" w:rsidR="001F330C" w:rsidRPr="00BB605A" w:rsidRDefault="00755AA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1F330C" w:rsidRPr="001F330C">
        <w:rPr>
          <w:rFonts w:ascii="Times New Roman" w:hAnsi="Times New Roman" w:cs="Times New Roman"/>
        </w:rPr>
        <w:t>he commencement of conciliation proceedings during such negotiations.</w:t>
      </w:r>
      <w:r w:rsidR="009A7060">
        <w:rPr>
          <w:rFonts w:ascii="Times New Roman" w:hAnsi="Times New Roman" w:cs="Times New Roman"/>
        </w:rPr>
        <w:t xml:space="preserve">  </w:t>
      </w:r>
    </w:p>
    <w:sectPr w:rsidR="001F330C" w:rsidRPr="00BB605A" w:rsidSect="00030C09">
      <w:headerReference w:type="even" r:id="rId10"/>
      <w:headerReference w:type="default" r:id="rId11"/>
      <w:headerReference w:type="first" r:id="rId12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C8C4" w14:textId="77777777" w:rsidR="00640E58" w:rsidRDefault="00640E58">
      <w:pPr>
        <w:spacing w:after="0" w:line="240" w:lineRule="auto"/>
      </w:pPr>
      <w:r>
        <w:separator/>
      </w:r>
    </w:p>
  </w:endnote>
  <w:endnote w:type="continuationSeparator" w:id="0">
    <w:p w14:paraId="55F8A58D" w14:textId="77777777" w:rsidR="00640E58" w:rsidRDefault="0064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74F8" w14:textId="77777777" w:rsidR="00640E58" w:rsidRDefault="00640E58">
      <w:pPr>
        <w:spacing w:after="0" w:line="240" w:lineRule="auto"/>
      </w:pPr>
      <w:r>
        <w:separator/>
      </w:r>
    </w:p>
  </w:footnote>
  <w:footnote w:type="continuationSeparator" w:id="0">
    <w:p w14:paraId="5FE445F1" w14:textId="77777777" w:rsidR="00640E58" w:rsidRDefault="0064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3D9" w14:textId="77777777" w:rsidR="0059224E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F5A65" w14:textId="77777777" w:rsidR="0059224E" w:rsidRDefault="0059224E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F84A" w14:textId="30BB8C38" w:rsidR="005E7C0E" w:rsidRPr="0001493E" w:rsidRDefault="0001493E">
    <w:pPr>
      <w:pStyle w:val="Header"/>
      <w:jc w:val="right"/>
      <w:rPr>
        <w:rFonts w:ascii="Times New Roman" w:hAnsi="Times New Roman" w:cs="Times New Roman"/>
      </w:rPr>
    </w:pPr>
    <w:r w:rsidRPr="0001493E">
      <w:rPr>
        <w:rFonts w:ascii="Times New Roman" w:hAnsi="Times New Roman" w:cs="Times New Roman"/>
      </w:rPr>
      <w:t>3356-10-29</w:t>
    </w:r>
    <w:r w:rsidRPr="0001493E">
      <w:rPr>
        <w:rFonts w:ascii="Times New Roman" w:hAnsi="Times New Roman" w:cs="Times New Roman"/>
      </w:rPr>
      <w:tab/>
    </w:r>
    <w:r w:rsidRPr="0001493E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3684928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E7C0E" w:rsidRPr="0001493E">
          <w:rPr>
            <w:rFonts w:ascii="Times New Roman" w:hAnsi="Times New Roman" w:cs="Times New Roman"/>
          </w:rPr>
          <w:fldChar w:fldCharType="begin"/>
        </w:r>
        <w:r w:rsidR="005E7C0E" w:rsidRPr="0001493E">
          <w:rPr>
            <w:rFonts w:ascii="Times New Roman" w:hAnsi="Times New Roman" w:cs="Times New Roman"/>
          </w:rPr>
          <w:instrText xml:space="preserve"> PAGE   \* MERGEFORMAT </w:instrText>
        </w:r>
        <w:r w:rsidR="005E7C0E" w:rsidRPr="0001493E">
          <w:rPr>
            <w:rFonts w:ascii="Times New Roman" w:hAnsi="Times New Roman" w:cs="Times New Roman"/>
          </w:rPr>
          <w:fldChar w:fldCharType="separate"/>
        </w:r>
        <w:r w:rsidR="005E7C0E" w:rsidRPr="0001493E">
          <w:rPr>
            <w:rFonts w:ascii="Times New Roman" w:hAnsi="Times New Roman" w:cs="Times New Roman"/>
            <w:noProof/>
          </w:rPr>
          <w:t>2</w:t>
        </w:r>
        <w:r w:rsidR="005E7C0E" w:rsidRPr="0001493E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61FB68F7" w14:textId="77777777" w:rsidR="005E7C0E" w:rsidRDefault="005E7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160B" w14:textId="1F807671" w:rsidR="00030C09" w:rsidRDefault="00030C09">
    <w:pPr>
      <w:pStyle w:val="Header"/>
      <w:jc w:val="right"/>
    </w:pPr>
  </w:p>
  <w:p w14:paraId="0C42DC26" w14:textId="77777777" w:rsidR="00030C09" w:rsidRDefault="00030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A3"/>
    <w:multiLevelType w:val="hybridMultilevel"/>
    <w:tmpl w:val="10829810"/>
    <w:lvl w:ilvl="0" w:tplc="FA38DDC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9EA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1554E"/>
    <w:multiLevelType w:val="hybridMultilevel"/>
    <w:tmpl w:val="52D652D2"/>
    <w:lvl w:ilvl="0" w:tplc="0C0EB7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1D4596C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AD3695B0">
      <w:start w:val="1"/>
      <w:numFmt w:val="lowerRoman"/>
      <w:lvlText w:val="(%3)"/>
      <w:lvlJc w:val="right"/>
      <w:pPr>
        <w:ind w:left="288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A54E7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DD0EB7"/>
    <w:multiLevelType w:val="hybridMultilevel"/>
    <w:tmpl w:val="AB7AEC00"/>
    <w:lvl w:ilvl="0" w:tplc="B808C0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6C5922"/>
    <w:multiLevelType w:val="hybridMultilevel"/>
    <w:tmpl w:val="EFDC4FD2"/>
    <w:lvl w:ilvl="0" w:tplc="DD42BC4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917998"/>
    <w:multiLevelType w:val="hybridMultilevel"/>
    <w:tmpl w:val="27F8986A"/>
    <w:lvl w:ilvl="0" w:tplc="19F6594E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A8122B0A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65C31"/>
    <w:multiLevelType w:val="hybridMultilevel"/>
    <w:tmpl w:val="6684336C"/>
    <w:lvl w:ilvl="0" w:tplc="25384A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913A1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B73AC8"/>
    <w:multiLevelType w:val="hybridMultilevel"/>
    <w:tmpl w:val="45A082E2"/>
    <w:lvl w:ilvl="0" w:tplc="FBA8DD9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D515620"/>
    <w:multiLevelType w:val="hybridMultilevel"/>
    <w:tmpl w:val="2BFE3DC4"/>
    <w:lvl w:ilvl="0" w:tplc="06A431A8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2E4A"/>
    <w:multiLevelType w:val="hybridMultilevel"/>
    <w:tmpl w:val="7C540ADA"/>
    <w:lvl w:ilvl="0" w:tplc="714E1602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CBA285A6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E2634C"/>
    <w:multiLevelType w:val="hybridMultilevel"/>
    <w:tmpl w:val="565C6340"/>
    <w:lvl w:ilvl="0" w:tplc="FDE49F3C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B00D5B"/>
    <w:multiLevelType w:val="hybridMultilevel"/>
    <w:tmpl w:val="FDFAFC22"/>
    <w:lvl w:ilvl="0" w:tplc="1D34A47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7981062">
    <w:abstractNumId w:val="0"/>
  </w:num>
  <w:num w:numId="2" w16cid:durableId="1004892591">
    <w:abstractNumId w:val="3"/>
  </w:num>
  <w:num w:numId="3" w16cid:durableId="924848167">
    <w:abstractNumId w:val="8"/>
  </w:num>
  <w:num w:numId="4" w16cid:durableId="1618953627">
    <w:abstractNumId w:val="1"/>
  </w:num>
  <w:num w:numId="5" w16cid:durableId="2030132546">
    <w:abstractNumId w:val="10"/>
  </w:num>
  <w:num w:numId="6" w16cid:durableId="191114251">
    <w:abstractNumId w:val="11"/>
  </w:num>
  <w:num w:numId="7" w16cid:durableId="1558008281">
    <w:abstractNumId w:val="6"/>
  </w:num>
  <w:num w:numId="8" w16cid:durableId="1943025950">
    <w:abstractNumId w:val="12"/>
  </w:num>
  <w:num w:numId="9" w16cid:durableId="1035303840">
    <w:abstractNumId w:val="2"/>
  </w:num>
  <w:num w:numId="10" w16cid:durableId="373769880">
    <w:abstractNumId w:val="5"/>
  </w:num>
  <w:num w:numId="11" w16cid:durableId="1671832023">
    <w:abstractNumId w:val="9"/>
  </w:num>
  <w:num w:numId="12" w16cid:durableId="863982983">
    <w:abstractNumId w:val="4"/>
  </w:num>
  <w:num w:numId="13" w16cid:durableId="1608999926">
    <w:abstractNumId w:val="13"/>
  </w:num>
  <w:num w:numId="14" w16cid:durableId="715930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1"/>
    <w:rsid w:val="00000025"/>
    <w:rsid w:val="0000141B"/>
    <w:rsid w:val="00014585"/>
    <w:rsid w:val="0001493E"/>
    <w:rsid w:val="00030C09"/>
    <w:rsid w:val="000365AC"/>
    <w:rsid w:val="000412A5"/>
    <w:rsid w:val="00042FC5"/>
    <w:rsid w:val="00046496"/>
    <w:rsid w:val="00064BD1"/>
    <w:rsid w:val="000C5FAD"/>
    <w:rsid w:val="000D1C24"/>
    <w:rsid w:val="000E17F6"/>
    <w:rsid w:val="000E676A"/>
    <w:rsid w:val="000F06AD"/>
    <w:rsid w:val="000F4F77"/>
    <w:rsid w:val="00105232"/>
    <w:rsid w:val="00114CF8"/>
    <w:rsid w:val="00121FC5"/>
    <w:rsid w:val="00122F3B"/>
    <w:rsid w:val="00132C16"/>
    <w:rsid w:val="001459C5"/>
    <w:rsid w:val="001733A3"/>
    <w:rsid w:val="00193CFE"/>
    <w:rsid w:val="001D18B4"/>
    <w:rsid w:val="001E00FB"/>
    <w:rsid w:val="001E5641"/>
    <w:rsid w:val="001F330C"/>
    <w:rsid w:val="0020483B"/>
    <w:rsid w:val="002223E6"/>
    <w:rsid w:val="0023278B"/>
    <w:rsid w:val="00251BD0"/>
    <w:rsid w:val="00263568"/>
    <w:rsid w:val="00266489"/>
    <w:rsid w:val="0029750D"/>
    <w:rsid w:val="002B2EE9"/>
    <w:rsid w:val="00332808"/>
    <w:rsid w:val="00333036"/>
    <w:rsid w:val="00356751"/>
    <w:rsid w:val="003B5D44"/>
    <w:rsid w:val="003C3F4D"/>
    <w:rsid w:val="003D4537"/>
    <w:rsid w:val="003E4A49"/>
    <w:rsid w:val="0041123A"/>
    <w:rsid w:val="00426C26"/>
    <w:rsid w:val="004302EC"/>
    <w:rsid w:val="00442D1B"/>
    <w:rsid w:val="0044433A"/>
    <w:rsid w:val="00446DCD"/>
    <w:rsid w:val="004479EC"/>
    <w:rsid w:val="0045015B"/>
    <w:rsid w:val="004C04A0"/>
    <w:rsid w:val="004C0CDA"/>
    <w:rsid w:val="004D6F87"/>
    <w:rsid w:val="004E6C20"/>
    <w:rsid w:val="004E7D69"/>
    <w:rsid w:val="004F2B32"/>
    <w:rsid w:val="00521EF0"/>
    <w:rsid w:val="005339FB"/>
    <w:rsid w:val="00534C3F"/>
    <w:rsid w:val="00557D06"/>
    <w:rsid w:val="00573864"/>
    <w:rsid w:val="0059224E"/>
    <w:rsid w:val="005A4862"/>
    <w:rsid w:val="005B2FEE"/>
    <w:rsid w:val="005D4193"/>
    <w:rsid w:val="005D46F5"/>
    <w:rsid w:val="005D5680"/>
    <w:rsid w:val="005E116C"/>
    <w:rsid w:val="005E7C0E"/>
    <w:rsid w:val="00612F9F"/>
    <w:rsid w:val="00640E58"/>
    <w:rsid w:val="00641AF0"/>
    <w:rsid w:val="006513CA"/>
    <w:rsid w:val="00676DA1"/>
    <w:rsid w:val="0067742C"/>
    <w:rsid w:val="00681E51"/>
    <w:rsid w:val="0069063F"/>
    <w:rsid w:val="006A0022"/>
    <w:rsid w:val="006D2E56"/>
    <w:rsid w:val="006E6FDB"/>
    <w:rsid w:val="00722E81"/>
    <w:rsid w:val="00755AAA"/>
    <w:rsid w:val="0076062D"/>
    <w:rsid w:val="00762946"/>
    <w:rsid w:val="00762F01"/>
    <w:rsid w:val="00773DD0"/>
    <w:rsid w:val="007748B5"/>
    <w:rsid w:val="00780711"/>
    <w:rsid w:val="007A0AB0"/>
    <w:rsid w:val="007C0BBB"/>
    <w:rsid w:val="007D1221"/>
    <w:rsid w:val="007E2826"/>
    <w:rsid w:val="00801EFA"/>
    <w:rsid w:val="0083521A"/>
    <w:rsid w:val="00845090"/>
    <w:rsid w:val="008735E2"/>
    <w:rsid w:val="00887679"/>
    <w:rsid w:val="008B2CBE"/>
    <w:rsid w:val="008B64A3"/>
    <w:rsid w:val="008C0C3B"/>
    <w:rsid w:val="008C1F50"/>
    <w:rsid w:val="008C3A19"/>
    <w:rsid w:val="008D496C"/>
    <w:rsid w:val="008F6289"/>
    <w:rsid w:val="009477CB"/>
    <w:rsid w:val="00950941"/>
    <w:rsid w:val="00985E52"/>
    <w:rsid w:val="00991044"/>
    <w:rsid w:val="00996CF1"/>
    <w:rsid w:val="009A7060"/>
    <w:rsid w:val="009B6274"/>
    <w:rsid w:val="009C728A"/>
    <w:rsid w:val="00A046F9"/>
    <w:rsid w:val="00A05EDB"/>
    <w:rsid w:val="00A12E73"/>
    <w:rsid w:val="00A32216"/>
    <w:rsid w:val="00A32CAF"/>
    <w:rsid w:val="00A47A94"/>
    <w:rsid w:val="00A678FE"/>
    <w:rsid w:val="00A75DF9"/>
    <w:rsid w:val="00A77EB4"/>
    <w:rsid w:val="00A86215"/>
    <w:rsid w:val="00AA4C4D"/>
    <w:rsid w:val="00AB313E"/>
    <w:rsid w:val="00AC3BD1"/>
    <w:rsid w:val="00AD42D0"/>
    <w:rsid w:val="00AD549E"/>
    <w:rsid w:val="00AD55D7"/>
    <w:rsid w:val="00AF0A44"/>
    <w:rsid w:val="00AF76FF"/>
    <w:rsid w:val="00AF7849"/>
    <w:rsid w:val="00B2153C"/>
    <w:rsid w:val="00B34D98"/>
    <w:rsid w:val="00B516D1"/>
    <w:rsid w:val="00B62E9F"/>
    <w:rsid w:val="00B77B50"/>
    <w:rsid w:val="00B81AA2"/>
    <w:rsid w:val="00B94C68"/>
    <w:rsid w:val="00BA35B0"/>
    <w:rsid w:val="00BB605A"/>
    <w:rsid w:val="00BB6D59"/>
    <w:rsid w:val="00BC41B9"/>
    <w:rsid w:val="00BE39EE"/>
    <w:rsid w:val="00BE5BA0"/>
    <w:rsid w:val="00C07520"/>
    <w:rsid w:val="00C27A53"/>
    <w:rsid w:val="00C54FFA"/>
    <w:rsid w:val="00CA4B96"/>
    <w:rsid w:val="00CA6F8C"/>
    <w:rsid w:val="00CC1A7A"/>
    <w:rsid w:val="00CC4065"/>
    <w:rsid w:val="00CC4CC6"/>
    <w:rsid w:val="00CD0930"/>
    <w:rsid w:val="00CE37A9"/>
    <w:rsid w:val="00CF2C3C"/>
    <w:rsid w:val="00CF4630"/>
    <w:rsid w:val="00D02637"/>
    <w:rsid w:val="00D3150F"/>
    <w:rsid w:val="00D64090"/>
    <w:rsid w:val="00D77129"/>
    <w:rsid w:val="00DC09DE"/>
    <w:rsid w:val="00DC1076"/>
    <w:rsid w:val="00DC6489"/>
    <w:rsid w:val="00DC7255"/>
    <w:rsid w:val="00DD223D"/>
    <w:rsid w:val="00E01F29"/>
    <w:rsid w:val="00E348D4"/>
    <w:rsid w:val="00E6292A"/>
    <w:rsid w:val="00E67A6A"/>
    <w:rsid w:val="00E73E1C"/>
    <w:rsid w:val="00E74327"/>
    <w:rsid w:val="00E906C0"/>
    <w:rsid w:val="00E9184E"/>
    <w:rsid w:val="00E932B0"/>
    <w:rsid w:val="00EC1A7A"/>
    <w:rsid w:val="00EE61F6"/>
    <w:rsid w:val="00F0058B"/>
    <w:rsid w:val="00F239E1"/>
    <w:rsid w:val="00F45129"/>
    <w:rsid w:val="00F50ED4"/>
    <w:rsid w:val="00F72310"/>
    <w:rsid w:val="00F84C85"/>
    <w:rsid w:val="00FE0F5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68B"/>
  <w15:docId w15:val="{2EA32CE2-D05E-43B2-8177-2941EC6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1"/>
  </w:style>
  <w:style w:type="character" w:styleId="PageNumber">
    <w:name w:val="page number"/>
    <w:basedOn w:val="DefaultParagraphFont"/>
    <w:rsid w:val="00064BD1"/>
  </w:style>
  <w:style w:type="paragraph" w:styleId="ListParagraph">
    <w:name w:val="List Paragraph"/>
    <w:basedOn w:val="Normal"/>
    <w:uiPriority w:val="34"/>
    <w:qFormat/>
    <w:rsid w:val="0006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C5"/>
  </w:style>
  <w:style w:type="paragraph" w:styleId="NormalWeb">
    <w:name w:val="Normal (Web)"/>
    <w:basedOn w:val="Normal"/>
    <w:uiPriority w:val="99"/>
    <w:unhideWhenUsed/>
    <w:rsid w:val="0033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330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BA7CB-5C9A-43DB-B63A-1394B5FEF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F0DF3-B042-498A-B06C-33DDD4643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95450-66E5-4E6B-8A76-E99CCB8D8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1739</Words>
  <Characters>10144</Characters>
  <Application>Microsoft Office Word</Application>
  <DocSecurity>0</DocSecurity>
  <Lines>230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14</cp:revision>
  <cp:lastPrinted>2025-11-24T17:36:00Z</cp:lastPrinted>
  <dcterms:created xsi:type="dcterms:W3CDTF">2025-12-05T14:41:00Z</dcterms:created>
  <dcterms:modified xsi:type="dcterms:W3CDTF">2026-01-02T14:25:00Z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