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31" w:rsidRPr="00414573" w:rsidRDefault="00A56D1A" w:rsidP="000C4731">
      <w:pPr>
        <w:spacing w:after="0" w:line="240" w:lineRule="auto"/>
        <w:rPr>
          <w:b/>
        </w:rPr>
      </w:pPr>
      <w:r w:rsidRPr="00414573">
        <w:rPr>
          <w:b/>
        </w:rPr>
        <w:t>3356-</w:t>
      </w:r>
      <w:r w:rsidR="000C4731" w:rsidRPr="00414573">
        <w:rPr>
          <w:b/>
        </w:rPr>
        <w:t>1</w:t>
      </w:r>
      <w:r w:rsidR="007F66F5" w:rsidRPr="00414573">
        <w:rPr>
          <w:b/>
        </w:rPr>
        <w:t>0</w:t>
      </w:r>
      <w:r w:rsidR="000C4731" w:rsidRPr="00414573">
        <w:rPr>
          <w:b/>
        </w:rPr>
        <w:t>-1</w:t>
      </w:r>
      <w:r w:rsidR="007F66F5" w:rsidRPr="00414573">
        <w:rPr>
          <w:b/>
        </w:rPr>
        <w:t>4</w:t>
      </w:r>
      <w:r w:rsidR="000C4731" w:rsidRPr="00414573">
        <w:rPr>
          <w:b/>
        </w:rPr>
        <w:tab/>
        <w:t>Integrity in research – use of human participants.</w:t>
      </w:r>
    </w:p>
    <w:p w:rsidR="00996E83" w:rsidRPr="00414573" w:rsidRDefault="00996E83" w:rsidP="00996E83">
      <w:pPr>
        <w:tabs>
          <w:tab w:val="left" w:pos="7200"/>
        </w:tabs>
        <w:spacing w:after="0"/>
        <w:rPr>
          <w:rFonts w:eastAsia="Times New Roman"/>
          <w:szCs w:val="24"/>
        </w:rPr>
      </w:pP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Previous Policy Number:</w:t>
      </w:r>
      <w:r w:rsidRPr="00414573">
        <w:rPr>
          <w:rFonts w:eastAsia="Times New Roman"/>
          <w:szCs w:val="24"/>
        </w:rPr>
        <w:tab/>
      </w:r>
      <w:r>
        <w:rPr>
          <w:rFonts w:eastAsia="Times New Roman"/>
          <w:szCs w:val="24"/>
        </w:rPr>
        <w:t>1014.01</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Responsible Division/Office:</w:t>
      </w:r>
      <w:r w:rsidRPr="00414573">
        <w:rPr>
          <w:rFonts w:eastAsia="Times New Roman"/>
          <w:szCs w:val="24"/>
        </w:rPr>
        <w:tab/>
      </w:r>
      <w:r>
        <w:rPr>
          <w:rFonts w:eastAsia="Times New Roman"/>
          <w:szCs w:val="24"/>
        </w:rPr>
        <w:t>Research</w:t>
      </w:r>
      <w:r w:rsidRPr="00414573">
        <w:rPr>
          <w:rFonts w:eastAsia="Times New Roman"/>
          <w:szCs w:val="24"/>
        </w:rPr>
        <w:tab/>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Responsible Officer:</w:t>
      </w:r>
      <w:r w:rsidRPr="00414573">
        <w:rPr>
          <w:rFonts w:eastAsia="Times New Roman"/>
          <w:szCs w:val="24"/>
        </w:rPr>
        <w:tab/>
      </w:r>
      <w:r>
        <w:rPr>
          <w:rFonts w:eastAsia="Times New Roman"/>
          <w:szCs w:val="24"/>
        </w:rPr>
        <w:t>Provost and Vice President for Academic Affairs</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Revision History:</w:t>
      </w:r>
      <w:r w:rsidRPr="00414573">
        <w:rPr>
          <w:rFonts w:eastAsia="Times New Roman"/>
          <w:szCs w:val="24"/>
        </w:rPr>
        <w:tab/>
      </w:r>
      <w:r>
        <w:rPr>
          <w:rFonts w:eastAsia="Times New Roman"/>
          <w:szCs w:val="24"/>
        </w:rPr>
        <w:t>June 1999; December 2010; June 2016</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Board Committee:</w:t>
      </w:r>
      <w:r w:rsidRPr="00414573">
        <w:rPr>
          <w:rFonts w:eastAsia="Times New Roman"/>
          <w:szCs w:val="24"/>
        </w:rPr>
        <w:tab/>
      </w:r>
      <w:r>
        <w:rPr>
          <w:rFonts w:eastAsia="Times New Roman"/>
          <w:szCs w:val="24"/>
        </w:rPr>
        <w:t>Academic and Student Affairs</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b/>
          <w:szCs w:val="24"/>
        </w:rPr>
        <w:t>Effective Date:</w:t>
      </w:r>
      <w:r w:rsidRPr="00414573">
        <w:rPr>
          <w:rFonts w:eastAsia="Times New Roman"/>
          <w:szCs w:val="24"/>
        </w:rPr>
        <w:tab/>
      </w:r>
      <w:r>
        <w:rPr>
          <w:rFonts w:eastAsia="Times New Roman"/>
          <w:b/>
          <w:szCs w:val="24"/>
        </w:rPr>
        <w:t>June 15, 2016</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Next Review:</w:t>
      </w:r>
      <w:r w:rsidRPr="00414573">
        <w:rPr>
          <w:rFonts w:eastAsia="Times New Roman"/>
          <w:szCs w:val="24"/>
        </w:rPr>
        <w:tab/>
      </w:r>
      <w:r>
        <w:rPr>
          <w:rFonts w:eastAsia="Times New Roman"/>
          <w:szCs w:val="24"/>
        </w:rPr>
        <w:t>2021</w:t>
      </w:r>
      <w:bookmarkStart w:id="0" w:name="_GoBack"/>
      <w:bookmarkEnd w:id="0"/>
    </w:p>
    <w:p w:rsidR="00996E83" w:rsidRPr="00414573" w:rsidRDefault="00996E83" w:rsidP="00996E83">
      <w:pPr>
        <w:tabs>
          <w:tab w:val="left" w:pos="3060"/>
          <w:tab w:val="left" w:pos="7920"/>
        </w:tabs>
        <w:spacing w:after="0" w:line="240" w:lineRule="auto"/>
        <w:rPr>
          <w:rFonts w:eastAsia="Times New Roman"/>
          <w:b/>
          <w:szCs w:val="24"/>
          <w:u w:val="single"/>
        </w:rPr>
      </w:pPr>
      <w:r w:rsidRPr="00414573">
        <w:rPr>
          <w:rFonts w:eastAsia="Times New Roman"/>
          <w:b/>
          <w:szCs w:val="24"/>
          <w:u w:val="single"/>
        </w:rPr>
        <w:tab/>
      </w:r>
      <w:r w:rsidRPr="00414573">
        <w:rPr>
          <w:rFonts w:eastAsia="Times New Roman"/>
          <w:b/>
          <w:szCs w:val="24"/>
          <w:u w:val="single"/>
        </w:rPr>
        <w:tab/>
      </w:r>
    </w:p>
    <w:p w:rsidR="00414573" w:rsidRPr="00414573" w:rsidRDefault="00414573" w:rsidP="00414573">
      <w:pPr>
        <w:tabs>
          <w:tab w:val="left" w:pos="7200"/>
        </w:tabs>
        <w:spacing w:after="0"/>
        <w:rPr>
          <w:rFonts w:eastAsia="Times New Roman"/>
          <w:szCs w:val="24"/>
        </w:rPr>
      </w:pPr>
    </w:p>
    <w:p w:rsidR="000C4731" w:rsidRPr="00414573" w:rsidRDefault="000C4731" w:rsidP="000C4731">
      <w:pPr>
        <w:spacing w:after="0" w:line="240" w:lineRule="auto"/>
        <w:ind w:left="720" w:hanging="720"/>
      </w:pPr>
      <w:r w:rsidRPr="00414573">
        <w:t>(A)</w:t>
      </w:r>
      <w:r w:rsidRPr="00414573">
        <w:tab/>
        <w:t>Policy</w:t>
      </w:r>
      <w:r w:rsidR="005B7DE2" w:rsidRPr="00414573">
        <w:t xml:space="preserve"> statement</w:t>
      </w:r>
      <w:r w:rsidRPr="00414573">
        <w:t>.  The university conducts research with integrity requiring the protection of the rights, well-being, and personal privacy of all persons utilized as participants.  The university is responsible for the development of procedures that are in conformance with, but not limited to, relevant federal and state regulations.  All research conducted under university auspices that involves human subjects shall fall under the purview of this policy and its procedures.</w:t>
      </w:r>
    </w:p>
    <w:p w:rsidR="000C4731" w:rsidRPr="00414573" w:rsidRDefault="000C4731" w:rsidP="000C4731">
      <w:pPr>
        <w:spacing w:after="0" w:line="240" w:lineRule="auto"/>
        <w:ind w:left="720" w:hanging="720"/>
      </w:pPr>
    </w:p>
    <w:p w:rsidR="000C4731" w:rsidRPr="00414573" w:rsidRDefault="000C4731" w:rsidP="000C4731">
      <w:pPr>
        <w:spacing w:after="0" w:line="240" w:lineRule="auto"/>
        <w:ind w:left="720" w:hanging="720"/>
      </w:pPr>
      <w:r w:rsidRPr="00414573">
        <w:t>(B)</w:t>
      </w:r>
      <w:r w:rsidRPr="00414573">
        <w:tab/>
        <w:t>Parameters.</w:t>
      </w:r>
    </w:p>
    <w:p w:rsidR="000C4731" w:rsidRPr="00414573" w:rsidRDefault="000C4731" w:rsidP="000C4731">
      <w:pPr>
        <w:spacing w:after="0" w:line="240" w:lineRule="auto"/>
        <w:ind w:left="720" w:hanging="720"/>
      </w:pPr>
    </w:p>
    <w:p w:rsidR="000C4731" w:rsidRPr="00414573" w:rsidRDefault="000C4731" w:rsidP="000C4731">
      <w:pPr>
        <w:spacing w:after="0" w:line="240" w:lineRule="auto"/>
        <w:ind w:left="1440" w:hanging="720"/>
      </w:pPr>
      <w:r w:rsidRPr="00414573">
        <w:t>(1)</w:t>
      </w:r>
      <w:r w:rsidRPr="00414573">
        <w:tab/>
        <w:t>The associate provost for research and dean of graduate studies and research is responsible for the administration of this policy and its procedures.</w:t>
      </w:r>
    </w:p>
    <w:p w:rsidR="000C4731" w:rsidRPr="00414573" w:rsidRDefault="000C4731" w:rsidP="000C4731">
      <w:pPr>
        <w:spacing w:after="0" w:line="240" w:lineRule="auto"/>
        <w:ind w:left="1440" w:hanging="720"/>
      </w:pPr>
    </w:p>
    <w:p w:rsidR="000C4731" w:rsidRPr="00414573" w:rsidRDefault="000C4731" w:rsidP="000C4731">
      <w:pPr>
        <w:spacing w:after="0" w:line="240" w:lineRule="auto"/>
        <w:ind w:left="1440" w:hanging="720"/>
      </w:pPr>
      <w:r w:rsidRPr="00414573">
        <w:t>(2)</w:t>
      </w:r>
      <w:r w:rsidRPr="00414573">
        <w:tab/>
        <w:t xml:space="preserve">The associate </w:t>
      </w:r>
      <w:r w:rsidRPr="00CE5CB2">
        <w:rPr>
          <w:strike/>
        </w:rPr>
        <w:t>provost</w:t>
      </w:r>
      <w:r w:rsidRPr="00414573">
        <w:t xml:space="preserve"> </w:t>
      </w:r>
      <w:r w:rsidR="00CE5CB2">
        <w:rPr>
          <w:u w:val="single"/>
        </w:rPr>
        <w:t>vice president</w:t>
      </w:r>
      <w:r w:rsidR="00CE5CB2">
        <w:t xml:space="preserve"> </w:t>
      </w:r>
      <w:r w:rsidRPr="00414573">
        <w:t xml:space="preserve">for research </w:t>
      </w:r>
      <w:r w:rsidRPr="00CE5CB2">
        <w:rPr>
          <w:strike/>
        </w:rPr>
        <w:t>and dean of graduate studies and research</w:t>
      </w:r>
      <w:r w:rsidRPr="00414573">
        <w:t xml:space="preserve"> annually forms an institutional review board composed of both university and non-university personnel.  The committee is charged with maintaining review procedures for research projects and programs that utilize human subjects.</w:t>
      </w:r>
    </w:p>
    <w:p w:rsidR="000C4731" w:rsidRPr="00414573" w:rsidRDefault="000C4731" w:rsidP="000C4731">
      <w:pPr>
        <w:spacing w:after="0" w:line="240" w:lineRule="auto"/>
      </w:pPr>
    </w:p>
    <w:p w:rsidR="000C4731" w:rsidRPr="00414573" w:rsidRDefault="000C4731" w:rsidP="000C4731">
      <w:pPr>
        <w:spacing w:after="0" w:line="240" w:lineRule="auto"/>
        <w:ind w:left="720" w:hanging="720"/>
      </w:pPr>
      <w:r w:rsidRPr="00414573">
        <w:t>(C)</w:t>
      </w:r>
      <w:r w:rsidRPr="00414573">
        <w:tab/>
        <w:t xml:space="preserve">Procedures.  The institutional review board has established procedures that are in accordance with federal regulations to review, approve, modify, or disapprove research activities involving human participants.  These procedures and other information concerning human </w:t>
      </w:r>
      <w:proofErr w:type="gramStart"/>
      <w:r w:rsidRPr="00414573">
        <w:t>subject</w:t>
      </w:r>
      <w:r w:rsidRPr="00CE5CB2">
        <w:rPr>
          <w:u w:val="single"/>
        </w:rPr>
        <w:t>s</w:t>
      </w:r>
      <w:proofErr w:type="gramEnd"/>
      <w:r w:rsidRPr="00414573">
        <w:t xml:space="preserve"> issues and procedures are available in the office of </w:t>
      </w:r>
      <w:r w:rsidRPr="00CE5CB2">
        <w:rPr>
          <w:strike/>
        </w:rPr>
        <w:t>grants and sponsored programs</w:t>
      </w:r>
      <w:r w:rsidR="00CE5CB2">
        <w:t xml:space="preserve"> </w:t>
      </w:r>
      <w:r w:rsidR="00CE5CB2">
        <w:rPr>
          <w:u w:val="single"/>
        </w:rPr>
        <w:t>research</w:t>
      </w:r>
      <w:r w:rsidR="005B7DE2" w:rsidRPr="00414573">
        <w:t>.</w:t>
      </w:r>
      <w:r w:rsidRPr="00414573">
        <w:t xml:space="preserve"> </w:t>
      </w:r>
    </w:p>
    <w:p w:rsidR="00996CF1" w:rsidRPr="00414573" w:rsidRDefault="00996CF1"/>
    <w:sectPr w:rsidR="00996CF1" w:rsidRPr="00414573" w:rsidSect="00556050">
      <w:headerReference w:type="default" r:id="rId8"/>
      <w:footerReference w:type="first" r:id="rId9"/>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BD" w:rsidRDefault="00B9536E">
      <w:pPr>
        <w:spacing w:after="0" w:line="240" w:lineRule="auto"/>
      </w:pPr>
      <w:r>
        <w:separator/>
      </w:r>
    </w:p>
  </w:endnote>
  <w:endnote w:type="continuationSeparator" w:id="0">
    <w:p w:rsidR="00811ABD" w:rsidRDefault="00B9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A8" w:rsidRDefault="00996E83">
    <w:pPr>
      <w:pStyle w:val="Footer"/>
    </w:pPr>
  </w:p>
  <w:p w:rsidR="00665BA8" w:rsidRDefault="00996E83">
    <w:pPr>
      <w:pStyle w:val="Footer"/>
    </w:pPr>
  </w:p>
  <w:p w:rsidR="00665BA8" w:rsidRDefault="00996E83">
    <w:pPr>
      <w:pStyle w:val="Footer"/>
    </w:pPr>
  </w:p>
  <w:p w:rsidR="00665BA8" w:rsidRDefault="0099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BD" w:rsidRDefault="00B9536E">
      <w:pPr>
        <w:spacing w:after="0" w:line="240" w:lineRule="auto"/>
      </w:pPr>
      <w:r>
        <w:separator/>
      </w:r>
    </w:p>
  </w:footnote>
  <w:footnote w:type="continuationSeparator" w:id="0">
    <w:p w:rsidR="00811ABD" w:rsidRDefault="00B9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E" w:rsidRDefault="007F66F5" w:rsidP="002E0AE2">
    <w:pPr>
      <w:pStyle w:val="Header"/>
      <w:tabs>
        <w:tab w:val="clear" w:pos="9360"/>
        <w:tab w:val="right" w:pos="7920"/>
      </w:tabs>
    </w:pPr>
    <w:r>
      <w:t>3356:1-11-09</w:t>
    </w:r>
    <w:r>
      <w:tab/>
    </w:r>
    <w:r>
      <w:tab/>
      <w:t>2</w:t>
    </w:r>
    <w:r>
      <w:tab/>
    </w:r>
  </w:p>
  <w:p w:rsidR="00E974DD" w:rsidRDefault="00996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31"/>
    <w:rsid w:val="00042FC5"/>
    <w:rsid w:val="000C4731"/>
    <w:rsid w:val="0021121D"/>
    <w:rsid w:val="00414573"/>
    <w:rsid w:val="005B7DE2"/>
    <w:rsid w:val="007F66F5"/>
    <w:rsid w:val="00811ABD"/>
    <w:rsid w:val="008907EB"/>
    <w:rsid w:val="00996CF1"/>
    <w:rsid w:val="00996E83"/>
    <w:rsid w:val="00A56D1A"/>
    <w:rsid w:val="00B9536E"/>
    <w:rsid w:val="00C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3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31"/>
    <w:rPr>
      <w:rFonts w:ascii="Times New Roman" w:eastAsia="Calibri" w:hAnsi="Times New Roman" w:cs="Times New Roman"/>
    </w:rPr>
  </w:style>
  <w:style w:type="paragraph" w:styleId="Footer">
    <w:name w:val="footer"/>
    <w:basedOn w:val="Normal"/>
    <w:link w:val="FooterChar"/>
    <w:uiPriority w:val="99"/>
    <w:unhideWhenUsed/>
    <w:rsid w:val="000C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31"/>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3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31"/>
    <w:rPr>
      <w:rFonts w:ascii="Times New Roman" w:eastAsia="Calibri" w:hAnsi="Times New Roman" w:cs="Times New Roman"/>
    </w:rPr>
  </w:style>
  <w:style w:type="paragraph" w:styleId="Footer">
    <w:name w:val="footer"/>
    <w:basedOn w:val="Normal"/>
    <w:link w:val="FooterChar"/>
    <w:uiPriority w:val="99"/>
    <w:unhideWhenUsed/>
    <w:rsid w:val="000C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3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803E-1DF6-435D-A409-240825BB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2016-09-16T15:06:00Z</dcterms:created>
  <dcterms:modified xsi:type="dcterms:W3CDTF">2016-09-16T15:06:00Z</dcterms:modified>
</cp:coreProperties>
</file>