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8A4" w:rsidRPr="002348A4" w:rsidRDefault="002348A4" w:rsidP="00870B96">
      <w:pPr>
        <w:spacing w:line="240" w:lineRule="auto"/>
      </w:pPr>
      <w:r>
        <w:rPr>
          <w:b/>
        </w:rPr>
        <w:t>Why</w:t>
      </w:r>
      <w:r>
        <w:t>: The last time a “campus climate” survey was offered was in 2014</w:t>
      </w:r>
      <w:r w:rsidR="00870B96">
        <w:t xml:space="preserve">, during a period of leadership transition; before that it was in 2007. </w:t>
      </w:r>
      <w:r>
        <w:t xml:space="preserve">Our accrediting body expects that YSU gather and act upon information regarding the quality of our workplace. </w:t>
      </w:r>
      <w:r w:rsidR="00870B96">
        <w:t>While previous surveys were “homegrown,” there was agreement by the Provost and the HLC Steering Committee that some ability to benchmark against other institutions was desirable, as was outsourcing both the data collection and analysis functions of the survey.</w:t>
      </w:r>
    </w:p>
    <w:p w:rsidR="009C2EDE" w:rsidRDefault="002348A4" w:rsidP="00870B96">
      <w:pPr>
        <w:spacing w:line="240" w:lineRule="auto"/>
      </w:pPr>
      <w:r>
        <w:rPr>
          <w:b/>
        </w:rPr>
        <w:t xml:space="preserve">Survey </w:t>
      </w:r>
      <w:r w:rsidR="009C2EDE">
        <w:rPr>
          <w:b/>
        </w:rPr>
        <w:t xml:space="preserve">Background: </w:t>
      </w:r>
      <w:r w:rsidR="009C2EDE">
        <w:t xml:space="preserve">The “Great Colleges” survey, used by over 1,000 institutions, asks </w:t>
      </w:r>
      <w:r w:rsidR="00045512">
        <w:t xml:space="preserve">full-time </w:t>
      </w:r>
      <w:r w:rsidR="009C2EDE">
        <w:t xml:space="preserve">faculty and staff about the quality of the workplace experience and the competitiveness of their policies and benefits. The survey is administered by Modern Think, a research firm; all data collection and analysis is done through this firm. </w:t>
      </w:r>
      <w:r>
        <w:t xml:space="preserve">The website to learn more about the survey is </w:t>
      </w:r>
      <w:hyperlink r:id="rId9" w:history="1">
        <w:r w:rsidRPr="00765EE9">
          <w:rPr>
            <w:rStyle w:val="Hyperlink"/>
          </w:rPr>
          <w:t>www.chroniclegreatcolleges.com</w:t>
        </w:r>
      </w:hyperlink>
      <w:r>
        <w:t xml:space="preserve">. </w:t>
      </w:r>
    </w:p>
    <w:p w:rsidR="006217F5" w:rsidRPr="006217F5" w:rsidRDefault="006217F5" w:rsidP="00870B96">
      <w:pPr>
        <w:spacing w:line="240" w:lineRule="auto"/>
      </w:pPr>
      <w:r>
        <w:rPr>
          <w:b/>
        </w:rPr>
        <w:t xml:space="preserve">Survey Period: </w:t>
      </w:r>
      <w:r>
        <w:t>The survey period will be March 14-April 8. Reports will be available in August.</w:t>
      </w:r>
    </w:p>
    <w:p w:rsidR="006217F5" w:rsidRDefault="006217F5" w:rsidP="00870B96">
      <w:pPr>
        <w:spacing w:line="240" w:lineRule="auto"/>
      </w:pPr>
      <w:r>
        <w:rPr>
          <w:b/>
        </w:rPr>
        <w:t xml:space="preserve">Survey Content: </w:t>
      </w:r>
      <w:r>
        <w:t>The survey consists of 60 statements with a five-point agreement scale; 18 benefits satisfaction component; two open-ended questions; and 15 demographic questions. Topic areas include:</w:t>
      </w:r>
    </w:p>
    <w:p w:rsidR="002348A4" w:rsidRDefault="002348A4" w:rsidP="00870B96">
      <w:pPr>
        <w:pStyle w:val="ListParagraph"/>
        <w:numPr>
          <w:ilvl w:val="0"/>
          <w:numId w:val="2"/>
        </w:numPr>
        <w:spacing w:after="0" w:line="240" w:lineRule="auto"/>
        <w:sectPr w:rsidR="002348A4" w:rsidSect="00177AA9">
          <w:headerReference w:type="default" r:id="rId10"/>
          <w:footerReference w:type="default" r:id="rId11"/>
          <w:pgSz w:w="12240" w:h="15840"/>
          <w:pgMar w:top="720" w:right="720" w:bottom="720" w:left="720" w:header="720" w:footer="300" w:gutter="0"/>
          <w:cols w:space="720"/>
          <w:docGrid w:linePitch="360"/>
        </w:sectPr>
      </w:pPr>
    </w:p>
    <w:p w:rsidR="006217F5" w:rsidRPr="006217F5" w:rsidRDefault="006217F5" w:rsidP="00870B96">
      <w:pPr>
        <w:pStyle w:val="ListParagraph"/>
        <w:numPr>
          <w:ilvl w:val="0"/>
          <w:numId w:val="2"/>
        </w:numPr>
        <w:spacing w:after="0" w:line="240" w:lineRule="auto"/>
      </w:pPr>
      <w:r w:rsidRPr="006217F5">
        <w:lastRenderedPageBreak/>
        <w:t>Job satisfaction/support</w:t>
      </w:r>
    </w:p>
    <w:p w:rsidR="006217F5" w:rsidRPr="006217F5" w:rsidRDefault="006217F5" w:rsidP="00870B96">
      <w:pPr>
        <w:pStyle w:val="ListParagraph"/>
        <w:numPr>
          <w:ilvl w:val="0"/>
          <w:numId w:val="2"/>
        </w:numPr>
        <w:spacing w:after="0" w:line="240" w:lineRule="auto"/>
      </w:pPr>
      <w:r w:rsidRPr="006217F5">
        <w:t>Teaching environment</w:t>
      </w:r>
    </w:p>
    <w:p w:rsidR="006217F5" w:rsidRPr="006217F5" w:rsidRDefault="006217F5" w:rsidP="00870B96">
      <w:pPr>
        <w:pStyle w:val="ListParagraph"/>
        <w:numPr>
          <w:ilvl w:val="0"/>
          <w:numId w:val="2"/>
        </w:numPr>
        <w:spacing w:after="0" w:line="240" w:lineRule="auto"/>
      </w:pPr>
      <w:r w:rsidRPr="006217F5">
        <w:t>Professional development</w:t>
      </w:r>
    </w:p>
    <w:p w:rsidR="006217F5" w:rsidRPr="006217F5" w:rsidRDefault="006217F5" w:rsidP="00870B96">
      <w:pPr>
        <w:pStyle w:val="ListParagraph"/>
        <w:numPr>
          <w:ilvl w:val="0"/>
          <w:numId w:val="2"/>
        </w:numPr>
        <w:spacing w:after="0" w:line="240" w:lineRule="auto"/>
      </w:pPr>
      <w:r w:rsidRPr="006217F5">
        <w:t>Compensation, benefits, and work/life balance</w:t>
      </w:r>
    </w:p>
    <w:p w:rsidR="006217F5" w:rsidRPr="006217F5" w:rsidRDefault="006217F5" w:rsidP="00870B96">
      <w:pPr>
        <w:pStyle w:val="ListParagraph"/>
        <w:numPr>
          <w:ilvl w:val="0"/>
          <w:numId w:val="2"/>
        </w:numPr>
        <w:spacing w:after="0" w:line="240" w:lineRule="auto"/>
      </w:pPr>
      <w:r w:rsidRPr="006217F5">
        <w:t>Facilities</w:t>
      </w:r>
    </w:p>
    <w:p w:rsidR="006217F5" w:rsidRPr="006217F5" w:rsidRDefault="006217F5" w:rsidP="00870B96">
      <w:pPr>
        <w:pStyle w:val="ListParagraph"/>
        <w:numPr>
          <w:ilvl w:val="0"/>
          <w:numId w:val="2"/>
        </w:numPr>
        <w:spacing w:after="0" w:line="240" w:lineRule="auto"/>
      </w:pPr>
      <w:r w:rsidRPr="006217F5">
        <w:t>Policies, resources, and efficiency</w:t>
      </w:r>
    </w:p>
    <w:p w:rsidR="006217F5" w:rsidRPr="006217F5" w:rsidRDefault="006217F5" w:rsidP="00870B96">
      <w:pPr>
        <w:pStyle w:val="ListParagraph"/>
        <w:numPr>
          <w:ilvl w:val="0"/>
          <w:numId w:val="2"/>
        </w:numPr>
        <w:spacing w:after="0" w:line="240" w:lineRule="auto"/>
      </w:pPr>
      <w:r w:rsidRPr="006217F5">
        <w:t>Shared governance</w:t>
      </w:r>
    </w:p>
    <w:p w:rsidR="006217F5" w:rsidRPr="006217F5" w:rsidRDefault="006217F5" w:rsidP="00870B96">
      <w:pPr>
        <w:pStyle w:val="ListParagraph"/>
        <w:numPr>
          <w:ilvl w:val="0"/>
          <w:numId w:val="2"/>
        </w:numPr>
        <w:spacing w:after="0" w:line="240" w:lineRule="auto"/>
      </w:pPr>
      <w:r w:rsidRPr="006217F5">
        <w:t>Pride</w:t>
      </w:r>
    </w:p>
    <w:p w:rsidR="006217F5" w:rsidRPr="006217F5" w:rsidRDefault="006217F5" w:rsidP="00870B96">
      <w:pPr>
        <w:pStyle w:val="ListParagraph"/>
        <w:numPr>
          <w:ilvl w:val="0"/>
          <w:numId w:val="2"/>
        </w:numPr>
        <w:spacing w:after="0" w:line="240" w:lineRule="auto"/>
      </w:pPr>
      <w:r w:rsidRPr="006217F5">
        <w:lastRenderedPageBreak/>
        <w:t>Supervisors/department chairs</w:t>
      </w:r>
    </w:p>
    <w:p w:rsidR="006217F5" w:rsidRPr="006217F5" w:rsidRDefault="006217F5" w:rsidP="00870B96">
      <w:pPr>
        <w:pStyle w:val="ListParagraph"/>
        <w:numPr>
          <w:ilvl w:val="0"/>
          <w:numId w:val="2"/>
        </w:numPr>
        <w:spacing w:after="0" w:line="240" w:lineRule="auto"/>
      </w:pPr>
      <w:r w:rsidRPr="006217F5">
        <w:t>Senior leadership</w:t>
      </w:r>
    </w:p>
    <w:p w:rsidR="006217F5" w:rsidRPr="006217F5" w:rsidRDefault="006217F5" w:rsidP="00870B96">
      <w:pPr>
        <w:pStyle w:val="ListParagraph"/>
        <w:numPr>
          <w:ilvl w:val="0"/>
          <w:numId w:val="2"/>
        </w:numPr>
        <w:spacing w:after="0" w:line="240" w:lineRule="auto"/>
      </w:pPr>
      <w:r w:rsidRPr="006217F5">
        <w:t>Faculty, administration, and staff relations</w:t>
      </w:r>
    </w:p>
    <w:p w:rsidR="006217F5" w:rsidRPr="006217F5" w:rsidRDefault="006217F5" w:rsidP="00870B96">
      <w:pPr>
        <w:pStyle w:val="ListParagraph"/>
        <w:numPr>
          <w:ilvl w:val="0"/>
          <w:numId w:val="2"/>
        </w:numPr>
        <w:spacing w:after="0" w:line="240" w:lineRule="auto"/>
      </w:pPr>
      <w:r w:rsidRPr="006217F5">
        <w:t>Communication</w:t>
      </w:r>
    </w:p>
    <w:p w:rsidR="006217F5" w:rsidRPr="006217F5" w:rsidRDefault="006217F5" w:rsidP="00870B96">
      <w:pPr>
        <w:pStyle w:val="ListParagraph"/>
        <w:numPr>
          <w:ilvl w:val="0"/>
          <w:numId w:val="2"/>
        </w:numPr>
        <w:spacing w:after="0" w:line="240" w:lineRule="auto"/>
      </w:pPr>
      <w:r w:rsidRPr="006217F5">
        <w:t>Collaboration</w:t>
      </w:r>
    </w:p>
    <w:p w:rsidR="006217F5" w:rsidRPr="006217F5" w:rsidRDefault="006217F5" w:rsidP="00870B96">
      <w:pPr>
        <w:pStyle w:val="ListParagraph"/>
        <w:numPr>
          <w:ilvl w:val="0"/>
          <w:numId w:val="2"/>
        </w:numPr>
        <w:spacing w:after="0" w:line="240" w:lineRule="auto"/>
      </w:pPr>
      <w:r w:rsidRPr="006217F5">
        <w:t>Fairness</w:t>
      </w:r>
    </w:p>
    <w:p w:rsidR="006217F5" w:rsidRPr="006217F5" w:rsidRDefault="006217F5" w:rsidP="00870B96">
      <w:pPr>
        <w:pStyle w:val="ListParagraph"/>
        <w:numPr>
          <w:ilvl w:val="0"/>
          <w:numId w:val="2"/>
        </w:numPr>
        <w:spacing w:after="0" w:line="240" w:lineRule="auto"/>
      </w:pPr>
      <w:r w:rsidRPr="006217F5">
        <w:t>Respect and appreciation</w:t>
      </w:r>
    </w:p>
    <w:p w:rsidR="002348A4" w:rsidRDefault="002348A4" w:rsidP="00870B96">
      <w:pPr>
        <w:spacing w:after="0" w:line="240" w:lineRule="auto"/>
        <w:sectPr w:rsidR="002348A4" w:rsidSect="00177AA9">
          <w:type w:val="continuous"/>
          <w:pgSz w:w="12240" w:h="15840"/>
          <w:pgMar w:top="720" w:right="720" w:bottom="720" w:left="720" w:header="720" w:footer="300" w:gutter="0"/>
          <w:cols w:num="2" w:space="720"/>
          <w:docGrid w:linePitch="360"/>
        </w:sectPr>
      </w:pPr>
    </w:p>
    <w:p w:rsidR="006217F5" w:rsidRPr="006217F5" w:rsidRDefault="006217F5" w:rsidP="00870B96">
      <w:pPr>
        <w:spacing w:after="0" w:line="240" w:lineRule="auto"/>
      </w:pPr>
    </w:p>
    <w:p w:rsidR="009C2EDE" w:rsidRDefault="009C2EDE" w:rsidP="00870B96">
      <w:pPr>
        <w:spacing w:line="240" w:lineRule="auto"/>
      </w:pPr>
      <w:r>
        <w:rPr>
          <w:b/>
        </w:rPr>
        <w:t xml:space="preserve">Sample: </w:t>
      </w:r>
      <w:r>
        <w:t xml:space="preserve">A sample of 600 employees </w:t>
      </w:r>
      <w:r w:rsidR="006217F5">
        <w:t>is</w:t>
      </w:r>
      <w:r>
        <w:t xml:space="preserve"> surveyed, split into four categories organized around job function</w:t>
      </w:r>
      <w:r w:rsidR="006217F5">
        <w:t xml:space="preserve"> (see chart below)</w:t>
      </w:r>
      <w:r>
        <w:t xml:space="preserve">. </w:t>
      </w:r>
      <w:r w:rsidR="006217F5">
        <w:t>These categories are similar to</w:t>
      </w:r>
      <w:r w:rsidR="005369CB">
        <w:t>, but not the same as,</w:t>
      </w:r>
      <w:r w:rsidR="006217F5">
        <w:t xml:space="preserve"> union groupings</w:t>
      </w:r>
      <w:r w:rsidR="005369CB">
        <w:t>. For example,</w:t>
      </w:r>
      <w:r w:rsidR="00A419A0">
        <w:t xml:space="preserve"> some</w:t>
      </w:r>
      <w:r w:rsidR="006217F5">
        <w:t xml:space="preserve"> IT staff </w:t>
      </w:r>
      <w:proofErr w:type="gramStart"/>
      <w:r w:rsidR="006217F5">
        <w:t>are</w:t>
      </w:r>
      <w:proofErr w:type="gramEnd"/>
      <w:r w:rsidR="006217F5">
        <w:t xml:space="preserve"> considered </w:t>
      </w:r>
      <w:r w:rsidR="005369CB">
        <w:t>“Exempt Professional S</w:t>
      </w:r>
      <w:r w:rsidR="006217F5">
        <w:t>taff</w:t>
      </w:r>
      <w:r w:rsidR="005369CB">
        <w:t>”</w:t>
      </w:r>
      <w:r w:rsidR="006217F5">
        <w:t xml:space="preserve"> for the survey, but are in the ACE union at YSU</w:t>
      </w:r>
      <w:r w:rsidR="005369CB">
        <w:t xml:space="preserve">; similarly, Assistant Directors are considered “Administration” while they </w:t>
      </w:r>
      <w:r w:rsidR="00A419A0">
        <w:t>may be</w:t>
      </w:r>
      <w:bookmarkStart w:id="0" w:name="_GoBack"/>
      <w:bookmarkEnd w:id="0"/>
      <w:r w:rsidR="005369CB">
        <w:t xml:space="preserve"> part of the APAS union at YSU</w:t>
      </w:r>
      <w:r w:rsidR="006217F5">
        <w:t xml:space="preserve">. </w:t>
      </w:r>
      <w:r>
        <w:t xml:space="preserve">The percentages are dictated by the research firm. YSU has also elected to </w:t>
      </w:r>
      <w:r w:rsidR="005369CB">
        <w:t xml:space="preserve">pay for an </w:t>
      </w:r>
      <w:r>
        <w:t>oversample 200 part-time faculty.</w:t>
      </w:r>
    </w:p>
    <w:p w:rsidR="002348A4" w:rsidRDefault="002348A4" w:rsidP="00870B96">
      <w:pPr>
        <w:spacing w:line="240" w:lineRule="auto"/>
      </w:pPr>
      <w:r>
        <w:t>The sample of employees is a random draw by job category using Modern Think’s methodology; YSU provides the name, email, and job category to the firm for direct communication</w:t>
      </w:r>
      <w:r w:rsidR="00177AA9">
        <w:t>.</w:t>
      </w:r>
    </w:p>
    <w:tbl>
      <w:tblPr>
        <w:tblStyle w:val="TableGrid"/>
        <w:tblW w:w="0" w:type="auto"/>
        <w:tblInd w:w="645" w:type="dxa"/>
        <w:tblLook w:val="04A0" w:firstRow="1" w:lastRow="0" w:firstColumn="1" w:lastColumn="0" w:noHBand="0" w:noVBand="1"/>
      </w:tblPr>
      <w:tblGrid>
        <w:gridCol w:w="2808"/>
        <w:gridCol w:w="1530"/>
        <w:gridCol w:w="2160"/>
        <w:gridCol w:w="900"/>
      </w:tblGrid>
      <w:tr w:rsidR="006217F5" w:rsidTr="00870B96">
        <w:tc>
          <w:tcPr>
            <w:tcW w:w="2808" w:type="dxa"/>
          </w:tcPr>
          <w:p w:rsidR="006217F5" w:rsidRPr="005369CB" w:rsidRDefault="006217F5" w:rsidP="00870B96">
            <w:pPr>
              <w:rPr>
                <w:b/>
              </w:rPr>
            </w:pPr>
            <w:r w:rsidRPr="005369CB">
              <w:rPr>
                <w:b/>
              </w:rPr>
              <w:t>Job Category</w:t>
            </w:r>
          </w:p>
        </w:tc>
        <w:tc>
          <w:tcPr>
            <w:tcW w:w="1530" w:type="dxa"/>
          </w:tcPr>
          <w:p w:rsidR="006217F5" w:rsidRPr="005369CB" w:rsidRDefault="006217F5" w:rsidP="00870B96">
            <w:pPr>
              <w:rPr>
                <w:b/>
              </w:rPr>
            </w:pPr>
            <w:r w:rsidRPr="005369CB">
              <w:rPr>
                <w:b/>
              </w:rPr>
              <w:t>Reported #s</w:t>
            </w:r>
          </w:p>
        </w:tc>
        <w:tc>
          <w:tcPr>
            <w:tcW w:w="2160" w:type="dxa"/>
          </w:tcPr>
          <w:p w:rsidR="006217F5" w:rsidRPr="005369CB" w:rsidRDefault="006217F5" w:rsidP="00870B96">
            <w:pPr>
              <w:rPr>
                <w:b/>
              </w:rPr>
            </w:pPr>
            <w:r w:rsidRPr="005369CB">
              <w:rPr>
                <w:b/>
              </w:rPr>
              <w:t>% of Sample</w:t>
            </w:r>
            <w:r w:rsidR="005369CB" w:rsidRPr="005369CB">
              <w:rPr>
                <w:b/>
              </w:rPr>
              <w:t xml:space="preserve"> (of 600)</w:t>
            </w:r>
          </w:p>
        </w:tc>
        <w:tc>
          <w:tcPr>
            <w:tcW w:w="900" w:type="dxa"/>
          </w:tcPr>
          <w:p w:rsidR="006217F5" w:rsidRPr="005369CB" w:rsidRDefault="006217F5" w:rsidP="00870B96">
            <w:pPr>
              <w:rPr>
                <w:b/>
              </w:rPr>
            </w:pPr>
            <w:r w:rsidRPr="005369CB">
              <w:rPr>
                <w:b/>
              </w:rPr>
              <w:t>Sample</w:t>
            </w:r>
          </w:p>
        </w:tc>
      </w:tr>
      <w:tr w:rsidR="006217F5" w:rsidTr="00870B96">
        <w:tc>
          <w:tcPr>
            <w:tcW w:w="2808" w:type="dxa"/>
          </w:tcPr>
          <w:p w:rsidR="006217F5" w:rsidRDefault="006217F5" w:rsidP="00870B96">
            <w:r>
              <w:t>Full-time Faculty</w:t>
            </w:r>
          </w:p>
        </w:tc>
        <w:tc>
          <w:tcPr>
            <w:tcW w:w="1530" w:type="dxa"/>
          </w:tcPr>
          <w:p w:rsidR="006217F5" w:rsidRDefault="005369CB" w:rsidP="00870B96">
            <w:pPr>
              <w:jc w:val="center"/>
            </w:pPr>
            <w:r>
              <w:t>410</w:t>
            </w:r>
          </w:p>
        </w:tc>
        <w:tc>
          <w:tcPr>
            <w:tcW w:w="2160" w:type="dxa"/>
          </w:tcPr>
          <w:p w:rsidR="006217F5" w:rsidRDefault="005369CB" w:rsidP="00870B96">
            <w:pPr>
              <w:jc w:val="center"/>
            </w:pPr>
            <w:r>
              <w:t>44%</w:t>
            </w:r>
          </w:p>
        </w:tc>
        <w:tc>
          <w:tcPr>
            <w:tcW w:w="900" w:type="dxa"/>
          </w:tcPr>
          <w:p w:rsidR="006217F5" w:rsidRDefault="005369CB" w:rsidP="00870B96">
            <w:pPr>
              <w:jc w:val="center"/>
            </w:pPr>
            <w:r>
              <w:t>264</w:t>
            </w:r>
          </w:p>
        </w:tc>
      </w:tr>
      <w:tr w:rsidR="006217F5" w:rsidTr="00870B96">
        <w:tc>
          <w:tcPr>
            <w:tcW w:w="2808" w:type="dxa"/>
          </w:tcPr>
          <w:p w:rsidR="006217F5" w:rsidRDefault="006217F5" w:rsidP="00870B96">
            <w:r>
              <w:t>Administration</w:t>
            </w:r>
          </w:p>
        </w:tc>
        <w:tc>
          <w:tcPr>
            <w:tcW w:w="1530" w:type="dxa"/>
          </w:tcPr>
          <w:p w:rsidR="006217F5" w:rsidRDefault="005369CB" w:rsidP="00870B96">
            <w:pPr>
              <w:jc w:val="center"/>
            </w:pPr>
            <w:r>
              <w:t>192</w:t>
            </w:r>
          </w:p>
        </w:tc>
        <w:tc>
          <w:tcPr>
            <w:tcW w:w="2160" w:type="dxa"/>
          </w:tcPr>
          <w:p w:rsidR="006217F5" w:rsidRDefault="005369CB" w:rsidP="00870B96">
            <w:pPr>
              <w:jc w:val="center"/>
            </w:pPr>
            <w:r>
              <w:t>21%</w:t>
            </w:r>
          </w:p>
        </w:tc>
        <w:tc>
          <w:tcPr>
            <w:tcW w:w="900" w:type="dxa"/>
          </w:tcPr>
          <w:p w:rsidR="006217F5" w:rsidRDefault="005369CB" w:rsidP="00870B96">
            <w:pPr>
              <w:jc w:val="center"/>
            </w:pPr>
            <w:r>
              <w:t>124</w:t>
            </w:r>
          </w:p>
        </w:tc>
      </w:tr>
      <w:tr w:rsidR="006217F5" w:rsidTr="00870B96">
        <w:tc>
          <w:tcPr>
            <w:tcW w:w="2808" w:type="dxa"/>
          </w:tcPr>
          <w:p w:rsidR="006217F5" w:rsidRDefault="006217F5" w:rsidP="00870B96">
            <w:r>
              <w:t>Exempt Professional Staff</w:t>
            </w:r>
          </w:p>
        </w:tc>
        <w:tc>
          <w:tcPr>
            <w:tcW w:w="1530" w:type="dxa"/>
          </w:tcPr>
          <w:p w:rsidR="006217F5" w:rsidRDefault="005369CB" w:rsidP="00870B96">
            <w:pPr>
              <w:jc w:val="center"/>
            </w:pPr>
            <w:r>
              <w:t>241</w:t>
            </w:r>
          </w:p>
        </w:tc>
        <w:tc>
          <w:tcPr>
            <w:tcW w:w="2160" w:type="dxa"/>
          </w:tcPr>
          <w:p w:rsidR="006217F5" w:rsidRDefault="005369CB" w:rsidP="00870B96">
            <w:pPr>
              <w:jc w:val="center"/>
            </w:pPr>
            <w:r>
              <w:t>26%</w:t>
            </w:r>
          </w:p>
        </w:tc>
        <w:tc>
          <w:tcPr>
            <w:tcW w:w="900" w:type="dxa"/>
          </w:tcPr>
          <w:p w:rsidR="006217F5" w:rsidRDefault="005369CB" w:rsidP="00870B96">
            <w:pPr>
              <w:jc w:val="center"/>
            </w:pPr>
            <w:r>
              <w:t>155</w:t>
            </w:r>
          </w:p>
        </w:tc>
      </w:tr>
      <w:tr w:rsidR="006217F5" w:rsidTr="00870B96">
        <w:tc>
          <w:tcPr>
            <w:tcW w:w="2808" w:type="dxa"/>
          </w:tcPr>
          <w:p w:rsidR="006217F5" w:rsidRDefault="006217F5" w:rsidP="00870B96">
            <w:r>
              <w:t>Non-exempt Staff</w:t>
            </w:r>
          </w:p>
        </w:tc>
        <w:tc>
          <w:tcPr>
            <w:tcW w:w="1530" w:type="dxa"/>
          </w:tcPr>
          <w:p w:rsidR="006217F5" w:rsidRDefault="005369CB" w:rsidP="00870B96">
            <w:pPr>
              <w:jc w:val="center"/>
            </w:pPr>
            <w:r>
              <w:t>220</w:t>
            </w:r>
          </w:p>
        </w:tc>
        <w:tc>
          <w:tcPr>
            <w:tcW w:w="2160" w:type="dxa"/>
          </w:tcPr>
          <w:p w:rsidR="006217F5" w:rsidRDefault="005369CB" w:rsidP="00870B96">
            <w:pPr>
              <w:jc w:val="center"/>
            </w:pPr>
            <w:r>
              <w:t>9%</w:t>
            </w:r>
          </w:p>
        </w:tc>
        <w:tc>
          <w:tcPr>
            <w:tcW w:w="900" w:type="dxa"/>
          </w:tcPr>
          <w:p w:rsidR="006217F5" w:rsidRDefault="005369CB" w:rsidP="00870B96">
            <w:pPr>
              <w:jc w:val="center"/>
            </w:pPr>
            <w:r>
              <w:t>57</w:t>
            </w:r>
          </w:p>
        </w:tc>
      </w:tr>
      <w:tr w:rsidR="006217F5" w:rsidTr="00870B96">
        <w:tc>
          <w:tcPr>
            <w:tcW w:w="2808" w:type="dxa"/>
          </w:tcPr>
          <w:p w:rsidR="006217F5" w:rsidRDefault="006217F5" w:rsidP="0034033D">
            <w:r>
              <w:t xml:space="preserve">Part-time </w:t>
            </w:r>
            <w:r w:rsidR="0034033D">
              <w:t>faculty</w:t>
            </w:r>
          </w:p>
        </w:tc>
        <w:tc>
          <w:tcPr>
            <w:tcW w:w="1530" w:type="dxa"/>
          </w:tcPr>
          <w:p w:rsidR="006217F5" w:rsidRDefault="005369CB" w:rsidP="00870B96">
            <w:pPr>
              <w:jc w:val="center"/>
            </w:pPr>
            <w:r>
              <w:t>672</w:t>
            </w:r>
          </w:p>
        </w:tc>
        <w:tc>
          <w:tcPr>
            <w:tcW w:w="2160" w:type="dxa"/>
          </w:tcPr>
          <w:p w:rsidR="006217F5" w:rsidRDefault="00870B96" w:rsidP="00870B96">
            <w:pPr>
              <w:jc w:val="center"/>
            </w:pPr>
            <w:r>
              <w:t>(</w:t>
            </w:r>
            <w:r w:rsidR="005369CB">
              <w:t>n/a-oversample</w:t>
            </w:r>
            <w:r>
              <w:t>)</w:t>
            </w:r>
          </w:p>
        </w:tc>
        <w:tc>
          <w:tcPr>
            <w:tcW w:w="900" w:type="dxa"/>
          </w:tcPr>
          <w:p w:rsidR="006217F5" w:rsidRDefault="005369CB" w:rsidP="00870B96">
            <w:pPr>
              <w:jc w:val="center"/>
            </w:pPr>
            <w:r>
              <w:t>200</w:t>
            </w:r>
          </w:p>
        </w:tc>
      </w:tr>
      <w:tr w:rsidR="006217F5" w:rsidTr="00870B96">
        <w:tc>
          <w:tcPr>
            <w:tcW w:w="2808" w:type="dxa"/>
          </w:tcPr>
          <w:p w:rsidR="006217F5" w:rsidRPr="005369CB" w:rsidRDefault="005369CB" w:rsidP="00870B96">
            <w:pPr>
              <w:rPr>
                <w:b/>
              </w:rPr>
            </w:pPr>
            <w:r w:rsidRPr="005369CB">
              <w:rPr>
                <w:b/>
              </w:rPr>
              <w:t>Totals</w:t>
            </w:r>
          </w:p>
        </w:tc>
        <w:tc>
          <w:tcPr>
            <w:tcW w:w="1530" w:type="dxa"/>
          </w:tcPr>
          <w:p w:rsidR="006217F5" w:rsidRPr="005369CB" w:rsidRDefault="005369CB" w:rsidP="00870B96">
            <w:pPr>
              <w:jc w:val="center"/>
              <w:rPr>
                <w:b/>
              </w:rPr>
            </w:pPr>
            <w:r>
              <w:rPr>
                <w:b/>
              </w:rPr>
              <w:t>1,736</w:t>
            </w:r>
          </w:p>
        </w:tc>
        <w:tc>
          <w:tcPr>
            <w:tcW w:w="2160" w:type="dxa"/>
          </w:tcPr>
          <w:p w:rsidR="006217F5" w:rsidRPr="005369CB" w:rsidRDefault="00870B96" w:rsidP="00870B96">
            <w:pPr>
              <w:jc w:val="center"/>
              <w:rPr>
                <w:b/>
              </w:rPr>
            </w:pPr>
            <w:r>
              <w:rPr>
                <w:b/>
              </w:rPr>
              <w:t>100%</w:t>
            </w:r>
          </w:p>
        </w:tc>
        <w:tc>
          <w:tcPr>
            <w:tcW w:w="900" w:type="dxa"/>
          </w:tcPr>
          <w:p w:rsidR="006217F5" w:rsidRPr="005369CB" w:rsidRDefault="005369CB" w:rsidP="00870B96">
            <w:pPr>
              <w:jc w:val="center"/>
              <w:rPr>
                <w:b/>
              </w:rPr>
            </w:pPr>
            <w:r>
              <w:rPr>
                <w:b/>
              </w:rPr>
              <w:t>800</w:t>
            </w:r>
          </w:p>
        </w:tc>
      </w:tr>
    </w:tbl>
    <w:p w:rsidR="002348A4" w:rsidRPr="00870B96" w:rsidRDefault="002348A4" w:rsidP="00870B96">
      <w:pPr>
        <w:spacing w:line="240" w:lineRule="auto"/>
        <w:rPr>
          <w:sz w:val="8"/>
        </w:rPr>
      </w:pPr>
    </w:p>
    <w:p w:rsidR="002348A4" w:rsidRDefault="002348A4" w:rsidP="00870B96">
      <w:pPr>
        <w:spacing w:line="240" w:lineRule="auto"/>
        <w:rPr>
          <w:b/>
        </w:rPr>
      </w:pPr>
      <w:r>
        <w:rPr>
          <w:b/>
        </w:rPr>
        <w:t xml:space="preserve">Data Security: </w:t>
      </w:r>
      <w:r>
        <w:t xml:space="preserve">All direct communication with the survey sample is handled through Modern Think.  An email with a link to an online survey portal is provided through the email. YSU does not know who does or does not respond to the survey, beyond response rates by job category. </w:t>
      </w:r>
      <w:r>
        <w:rPr>
          <w:b/>
        </w:rPr>
        <w:t>All data collected by Modern Think is retained by the firm; YSU does not have any access to the raw data.</w:t>
      </w:r>
    </w:p>
    <w:p w:rsidR="005369CB" w:rsidRPr="00870B96" w:rsidRDefault="002348A4" w:rsidP="00870B96">
      <w:pPr>
        <w:spacing w:line="240" w:lineRule="auto"/>
      </w:pPr>
      <w:r>
        <w:rPr>
          <w:b/>
        </w:rPr>
        <w:t xml:space="preserve">Reports: </w:t>
      </w:r>
      <w:r>
        <w:t>In addition to two free top-level reports (by topic area</w:t>
      </w:r>
      <w:r w:rsidR="004A4706">
        <w:t>:</w:t>
      </w:r>
      <w:r>
        <w:t xml:space="preserve"> overall</w:t>
      </w:r>
      <w:r w:rsidR="004A4706">
        <w:t>,</w:t>
      </w:r>
      <w:r>
        <w:t xml:space="preserve"> and by job category), there are numerous reports available for purchase that allow YSU to see results by individual question; demographic profile; department; and other. All reports offer some level of benchmarking with other institutions in the same Carnegie classification as well as those considered to be top performing. A full list of available reports can be seen at </w:t>
      </w:r>
      <w:hyperlink r:id="rId12" w:history="1">
        <w:r w:rsidRPr="00765EE9">
          <w:rPr>
            <w:rStyle w:val="Hyperlink"/>
          </w:rPr>
          <w:t>www.chroniclegreatcolleges.com</w:t>
        </w:r>
      </w:hyperlink>
      <w:r>
        <w:t xml:space="preserve">.  </w:t>
      </w:r>
    </w:p>
    <w:sectPr w:rsidR="005369CB" w:rsidRPr="00870B96" w:rsidSect="00177AA9">
      <w:type w:val="continuous"/>
      <w:pgSz w:w="12240" w:h="15840"/>
      <w:pgMar w:top="720" w:right="720" w:bottom="450" w:left="720" w:header="72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7F5" w:rsidRDefault="006217F5" w:rsidP="006217F5">
      <w:pPr>
        <w:spacing w:after="0" w:line="240" w:lineRule="auto"/>
      </w:pPr>
      <w:r>
        <w:separator/>
      </w:r>
    </w:p>
  </w:endnote>
  <w:endnote w:type="continuationSeparator" w:id="0">
    <w:p w:rsidR="006217F5" w:rsidRDefault="006217F5" w:rsidP="00621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A9" w:rsidRPr="00E25BEF" w:rsidRDefault="004A4706" w:rsidP="00177AA9">
    <w:pPr>
      <w:pStyle w:val="Footer"/>
      <w:spacing w:before="240"/>
      <w:rPr>
        <w:sz w:val="16"/>
      </w:rPr>
    </w:pPr>
    <w:r>
      <w:rPr>
        <w:sz w:val="16"/>
      </w:rPr>
      <w:t>Office of Assessment</w:t>
    </w:r>
    <w:r w:rsidR="00E25BEF" w:rsidRPr="00E25BEF">
      <w:rPr>
        <w:sz w:val="16"/>
      </w:rPr>
      <w:t xml:space="preserve">, </w:t>
    </w:r>
    <w:r w:rsidR="0034033D">
      <w:rPr>
        <w:sz w:val="16"/>
      </w:rPr>
      <w:t>3/1</w:t>
    </w:r>
    <w:r w:rsidR="00177AA9" w:rsidRPr="00E25BEF">
      <w:rPr>
        <w:sz w:val="16"/>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7F5" w:rsidRDefault="006217F5" w:rsidP="006217F5">
      <w:pPr>
        <w:spacing w:after="0" w:line="240" w:lineRule="auto"/>
      </w:pPr>
      <w:r>
        <w:separator/>
      </w:r>
    </w:p>
  </w:footnote>
  <w:footnote w:type="continuationSeparator" w:id="0">
    <w:p w:rsidR="006217F5" w:rsidRDefault="006217F5" w:rsidP="006217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7F5" w:rsidRDefault="006217F5" w:rsidP="00870B96">
    <w:pPr>
      <w:pStyle w:val="Heading1"/>
      <w:spacing w:before="0" w:after="240"/>
      <w:jc w:val="center"/>
    </w:pPr>
    <w:r>
      <w:t xml:space="preserve">The Chronicle of Higher Education’s “Great Colleges to Work </w:t>
    </w:r>
    <w:proofErr w:type="gramStart"/>
    <w:r>
      <w:t>For</w:t>
    </w:r>
    <w:proofErr w:type="gramEnd"/>
    <w:r>
      <w:t>” Survey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574F9"/>
    <w:multiLevelType w:val="hybridMultilevel"/>
    <w:tmpl w:val="A604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29073F"/>
    <w:multiLevelType w:val="hybridMultilevel"/>
    <w:tmpl w:val="711CB7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EDE"/>
    <w:rsid w:val="00045512"/>
    <w:rsid w:val="000F6E12"/>
    <w:rsid w:val="00177AA9"/>
    <w:rsid w:val="002348A4"/>
    <w:rsid w:val="0034033D"/>
    <w:rsid w:val="004A4706"/>
    <w:rsid w:val="005369CB"/>
    <w:rsid w:val="005F0AE7"/>
    <w:rsid w:val="006217F5"/>
    <w:rsid w:val="00870B96"/>
    <w:rsid w:val="009C2EDE"/>
    <w:rsid w:val="00A419A0"/>
    <w:rsid w:val="00AC3885"/>
    <w:rsid w:val="00C51101"/>
    <w:rsid w:val="00E25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2E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ED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21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7F5"/>
    <w:pPr>
      <w:ind w:left="720"/>
      <w:contextualSpacing/>
    </w:pPr>
  </w:style>
  <w:style w:type="paragraph" w:styleId="Header">
    <w:name w:val="header"/>
    <w:basedOn w:val="Normal"/>
    <w:link w:val="HeaderChar"/>
    <w:uiPriority w:val="99"/>
    <w:unhideWhenUsed/>
    <w:rsid w:val="006217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7F5"/>
  </w:style>
  <w:style w:type="paragraph" w:styleId="Footer">
    <w:name w:val="footer"/>
    <w:basedOn w:val="Normal"/>
    <w:link w:val="FooterChar"/>
    <w:uiPriority w:val="99"/>
    <w:unhideWhenUsed/>
    <w:rsid w:val="006217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7F5"/>
  </w:style>
  <w:style w:type="character" w:styleId="Hyperlink">
    <w:name w:val="Hyperlink"/>
    <w:basedOn w:val="DefaultParagraphFont"/>
    <w:uiPriority w:val="99"/>
    <w:unhideWhenUsed/>
    <w:rsid w:val="002348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2E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ED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21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7F5"/>
    <w:pPr>
      <w:ind w:left="720"/>
      <w:contextualSpacing/>
    </w:pPr>
  </w:style>
  <w:style w:type="paragraph" w:styleId="Header">
    <w:name w:val="header"/>
    <w:basedOn w:val="Normal"/>
    <w:link w:val="HeaderChar"/>
    <w:uiPriority w:val="99"/>
    <w:unhideWhenUsed/>
    <w:rsid w:val="006217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7F5"/>
  </w:style>
  <w:style w:type="paragraph" w:styleId="Footer">
    <w:name w:val="footer"/>
    <w:basedOn w:val="Normal"/>
    <w:link w:val="FooterChar"/>
    <w:uiPriority w:val="99"/>
    <w:unhideWhenUsed/>
    <w:rsid w:val="006217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7F5"/>
  </w:style>
  <w:style w:type="character" w:styleId="Hyperlink">
    <w:name w:val="Hyperlink"/>
    <w:basedOn w:val="DefaultParagraphFont"/>
    <w:uiPriority w:val="99"/>
    <w:unhideWhenUsed/>
    <w:rsid w:val="002348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roniclegreatcolleg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hroniclegreatcolleg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1E9B669-A4A1-4066-BEA2-AE7B7AA5D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 Fuhrman</dc:creator>
  <cp:lastModifiedBy>Hillary Fuhrman</cp:lastModifiedBy>
  <cp:revision>5</cp:revision>
  <cp:lastPrinted>2016-02-23T18:46:00Z</cp:lastPrinted>
  <dcterms:created xsi:type="dcterms:W3CDTF">2016-03-01T17:37:00Z</dcterms:created>
  <dcterms:modified xsi:type="dcterms:W3CDTF">2016-03-01T20:05:00Z</dcterms:modified>
</cp:coreProperties>
</file>