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AC1F" w14:textId="029C9404" w:rsidR="00AF76FF" w:rsidRPr="002F1565" w:rsidRDefault="00AF76FF" w:rsidP="003B6FD2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2F1565">
        <w:rPr>
          <w:rFonts w:ascii="Times New Roman" w:eastAsia="Calibri" w:hAnsi="Times New Roman" w:cs="Times New Roman"/>
          <w:b/>
        </w:rPr>
        <w:t>3356-</w:t>
      </w:r>
      <w:r w:rsidR="004F2B32" w:rsidRPr="002F1565">
        <w:rPr>
          <w:rFonts w:ascii="Times New Roman" w:eastAsia="Calibri" w:hAnsi="Times New Roman" w:cs="Times New Roman"/>
          <w:b/>
        </w:rPr>
        <w:t>1</w:t>
      </w:r>
      <w:r w:rsidR="00BD72B9" w:rsidRPr="002F1565">
        <w:rPr>
          <w:rFonts w:ascii="Times New Roman" w:eastAsia="Calibri" w:hAnsi="Times New Roman" w:cs="Times New Roman"/>
          <w:b/>
        </w:rPr>
        <w:t>0</w:t>
      </w:r>
      <w:r w:rsidRPr="002F1565">
        <w:rPr>
          <w:rFonts w:ascii="Times New Roman" w:eastAsia="Calibri" w:hAnsi="Times New Roman" w:cs="Times New Roman"/>
          <w:b/>
        </w:rPr>
        <w:t>-</w:t>
      </w:r>
      <w:r w:rsidR="00110A98" w:rsidRPr="002F1565">
        <w:rPr>
          <w:rFonts w:ascii="Times New Roman" w:eastAsia="Calibri" w:hAnsi="Times New Roman" w:cs="Times New Roman"/>
          <w:b/>
        </w:rPr>
        <w:t>20</w:t>
      </w:r>
      <w:r w:rsidRPr="002F1565">
        <w:rPr>
          <w:rFonts w:ascii="Times New Roman" w:eastAsia="Calibri" w:hAnsi="Times New Roman" w:cs="Times New Roman"/>
          <w:b/>
        </w:rPr>
        <w:tab/>
      </w:r>
      <w:r w:rsidR="00BD72B9" w:rsidRPr="002F1565">
        <w:rPr>
          <w:rFonts w:ascii="Times New Roman" w:eastAsia="Calibri" w:hAnsi="Times New Roman" w:cs="Times New Roman"/>
          <w:b/>
        </w:rPr>
        <w:t>Faculty workload policy</w:t>
      </w:r>
      <w:r w:rsidR="00CF2C3C" w:rsidRPr="002F1565">
        <w:rPr>
          <w:rFonts w:ascii="Times New Roman" w:eastAsia="Calibri" w:hAnsi="Times New Roman" w:cs="Times New Roman"/>
          <w:b/>
        </w:rPr>
        <w:t>.</w:t>
      </w:r>
    </w:p>
    <w:p w14:paraId="47ED1E3E" w14:textId="77777777" w:rsidR="001E00FB" w:rsidRPr="002F1565" w:rsidRDefault="001E00FB" w:rsidP="009477CB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6EAE0976" w14:textId="4FC49091" w:rsidR="0000141B" w:rsidRPr="002F1565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991044" w:rsidRPr="002F1565">
        <w:rPr>
          <w:rFonts w:ascii="Times New Roman" w:eastAsia="Times New Roman" w:hAnsi="Times New Roman" w:cs="Times New Roman"/>
          <w:szCs w:val="24"/>
        </w:rPr>
        <w:t>Division/</w:t>
      </w:r>
      <w:r w:rsidRPr="002F1565">
        <w:rPr>
          <w:rFonts w:ascii="Times New Roman" w:eastAsia="Times New Roman" w:hAnsi="Times New Roman" w:cs="Times New Roman"/>
          <w:szCs w:val="24"/>
        </w:rPr>
        <w:t>Office:</w:t>
      </w:r>
      <w:r w:rsidR="003C3F4D" w:rsidRPr="002F1565">
        <w:rPr>
          <w:rFonts w:ascii="Times New Roman" w:eastAsia="Times New Roman" w:hAnsi="Times New Roman" w:cs="Times New Roman"/>
          <w:szCs w:val="24"/>
        </w:rPr>
        <w:tab/>
      </w:r>
      <w:r w:rsidR="00BD72B9" w:rsidRPr="002F1565">
        <w:rPr>
          <w:rFonts w:ascii="Times New Roman" w:eastAsia="Times New Roman" w:hAnsi="Times New Roman" w:cs="Times New Roman"/>
          <w:szCs w:val="24"/>
        </w:rPr>
        <w:t>Academic Affairs</w:t>
      </w:r>
    </w:p>
    <w:p w14:paraId="25ADE503" w14:textId="5E6DB220" w:rsidR="0000141B" w:rsidRPr="002F1565" w:rsidRDefault="00263568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00141B" w:rsidRPr="002F1565">
        <w:rPr>
          <w:rFonts w:ascii="Times New Roman" w:eastAsia="Times New Roman" w:hAnsi="Times New Roman" w:cs="Times New Roman"/>
          <w:szCs w:val="24"/>
        </w:rPr>
        <w:t>Officer:</w:t>
      </w:r>
      <w:r w:rsidR="0000141B" w:rsidRPr="002F1565">
        <w:rPr>
          <w:rFonts w:ascii="Times New Roman" w:eastAsia="Times New Roman" w:hAnsi="Times New Roman" w:cs="Times New Roman"/>
          <w:szCs w:val="24"/>
        </w:rPr>
        <w:tab/>
      </w:r>
      <w:r w:rsidR="00BD72B9" w:rsidRPr="002F1565">
        <w:rPr>
          <w:rFonts w:ascii="Times New Roman" w:eastAsia="Times New Roman" w:hAnsi="Times New Roman" w:cs="Times New Roman"/>
          <w:szCs w:val="24"/>
        </w:rPr>
        <w:t>Provost and Vice President for Academic Affairs</w:t>
      </w:r>
    </w:p>
    <w:p w14:paraId="1B37625C" w14:textId="42CC7524" w:rsidR="0000141B" w:rsidRPr="002F1565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szCs w:val="24"/>
        </w:rPr>
        <w:t>Revision History:</w:t>
      </w:r>
      <w:r w:rsidRPr="002F1565">
        <w:rPr>
          <w:rFonts w:ascii="Times New Roman" w:eastAsia="Times New Roman" w:hAnsi="Times New Roman" w:cs="Times New Roman"/>
          <w:szCs w:val="24"/>
        </w:rPr>
        <w:tab/>
      </w:r>
      <w:r w:rsidR="00934CB6" w:rsidRPr="002F1565">
        <w:rPr>
          <w:rFonts w:ascii="Times New Roman" w:eastAsia="Times New Roman" w:hAnsi="Times New Roman" w:cs="Times New Roman"/>
          <w:szCs w:val="24"/>
        </w:rPr>
        <w:t>December 2025</w:t>
      </w:r>
    </w:p>
    <w:p w14:paraId="36C514BA" w14:textId="091736D9" w:rsidR="0000141B" w:rsidRPr="002F1565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szCs w:val="24"/>
        </w:rPr>
        <w:t>Board Committee:</w:t>
      </w:r>
      <w:r w:rsidRPr="002F1565">
        <w:rPr>
          <w:rFonts w:ascii="Times New Roman" w:eastAsia="Times New Roman" w:hAnsi="Times New Roman" w:cs="Times New Roman"/>
          <w:szCs w:val="24"/>
        </w:rPr>
        <w:tab/>
      </w:r>
      <w:r w:rsidR="00934CB6" w:rsidRPr="002F1565">
        <w:rPr>
          <w:rFonts w:ascii="Times New Roman" w:eastAsia="Times New Roman" w:hAnsi="Times New Roman" w:cs="Times New Roman"/>
          <w:szCs w:val="24"/>
        </w:rPr>
        <w:t>Academic Excellence and Student Success</w:t>
      </w:r>
    </w:p>
    <w:p w14:paraId="41B8EAFA" w14:textId="24FC6BB4" w:rsidR="0000141B" w:rsidRPr="002F1565" w:rsidRDefault="00991044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b/>
          <w:szCs w:val="24"/>
        </w:rPr>
        <w:t xml:space="preserve">Effective </w:t>
      </w:r>
      <w:r w:rsidR="00266489" w:rsidRPr="002F1565">
        <w:rPr>
          <w:rFonts w:ascii="Times New Roman" w:eastAsia="Times New Roman" w:hAnsi="Times New Roman" w:cs="Times New Roman"/>
          <w:b/>
          <w:szCs w:val="24"/>
        </w:rPr>
        <w:t>Date</w:t>
      </w:r>
      <w:r w:rsidR="0000141B" w:rsidRPr="002F1565">
        <w:rPr>
          <w:rFonts w:ascii="Times New Roman" w:eastAsia="Times New Roman" w:hAnsi="Times New Roman" w:cs="Times New Roman"/>
          <w:b/>
          <w:szCs w:val="24"/>
        </w:rPr>
        <w:t>:</w:t>
      </w:r>
      <w:r w:rsidR="0000141B" w:rsidRPr="002F1565">
        <w:rPr>
          <w:rFonts w:ascii="Times New Roman" w:eastAsia="Times New Roman" w:hAnsi="Times New Roman" w:cs="Times New Roman"/>
          <w:szCs w:val="24"/>
        </w:rPr>
        <w:tab/>
      </w:r>
      <w:r w:rsidR="00B46D93">
        <w:rPr>
          <w:rFonts w:ascii="Times New Roman" w:eastAsia="Times New Roman" w:hAnsi="Times New Roman" w:cs="Times New Roman"/>
          <w:b/>
          <w:bCs/>
          <w:szCs w:val="24"/>
        </w:rPr>
        <w:t>TBD</w:t>
      </w:r>
    </w:p>
    <w:p w14:paraId="6E1B56A1" w14:textId="5968BF6E" w:rsidR="0000141B" w:rsidRPr="002F1565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szCs w:val="24"/>
        </w:rPr>
        <w:t>Next Review:</w:t>
      </w:r>
      <w:r w:rsidRPr="002F1565">
        <w:rPr>
          <w:rFonts w:ascii="Times New Roman" w:eastAsia="Times New Roman" w:hAnsi="Times New Roman" w:cs="Times New Roman"/>
          <w:szCs w:val="24"/>
        </w:rPr>
        <w:tab/>
      </w:r>
      <w:r w:rsidR="00934CB6" w:rsidRPr="002F1565">
        <w:rPr>
          <w:rFonts w:ascii="Times New Roman" w:eastAsia="Times New Roman" w:hAnsi="Times New Roman" w:cs="Times New Roman"/>
          <w:szCs w:val="24"/>
        </w:rPr>
        <w:t>2030</w:t>
      </w:r>
    </w:p>
    <w:p w14:paraId="1A32DC69" w14:textId="503064B8" w:rsidR="001F5968" w:rsidRPr="002F1565" w:rsidRDefault="003A227C" w:rsidP="003B6FD2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="0000141B"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="0000141B" w:rsidRPr="002F1565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4D998CB6" w14:textId="4DB76252" w:rsidR="00AF261E" w:rsidRPr="006968C1" w:rsidRDefault="00053C9A" w:rsidP="00BC1D03">
      <w:pPr>
        <w:spacing w:before="240"/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(A)</w:t>
      </w:r>
      <w:r w:rsidR="00AF261E" w:rsidRPr="006968C1">
        <w:rPr>
          <w:rFonts w:ascii="Times New Roman" w:hAnsi="Times New Roman" w:cs="Times New Roman"/>
          <w:szCs w:val="24"/>
        </w:rPr>
        <w:tab/>
      </w:r>
      <w:r w:rsidR="006428BF" w:rsidRPr="006968C1">
        <w:rPr>
          <w:rFonts w:ascii="Times New Roman" w:hAnsi="Times New Roman" w:cs="Times New Roman"/>
          <w:szCs w:val="24"/>
        </w:rPr>
        <w:t>Policy statement</w:t>
      </w:r>
      <w:r w:rsidRPr="006968C1">
        <w:rPr>
          <w:rFonts w:ascii="Times New Roman" w:hAnsi="Times New Roman" w:cs="Times New Roman"/>
          <w:szCs w:val="24"/>
        </w:rPr>
        <w:t>.</w:t>
      </w:r>
      <w:r w:rsidR="006428BF" w:rsidRPr="006968C1">
        <w:rPr>
          <w:rFonts w:ascii="Times New Roman" w:hAnsi="Times New Roman" w:cs="Times New Roman"/>
          <w:szCs w:val="24"/>
        </w:rPr>
        <w:t xml:space="preserve">  As required by law, Youngstown state university’</w:t>
      </w:r>
      <w:r w:rsidR="00AF261E" w:rsidRPr="006968C1">
        <w:rPr>
          <w:rFonts w:ascii="Times New Roman" w:hAnsi="Times New Roman" w:cs="Times New Roman"/>
          <w:szCs w:val="24"/>
        </w:rPr>
        <w:t>s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AF261E" w:rsidRPr="006968C1">
        <w:rPr>
          <w:rFonts w:ascii="Times New Roman" w:hAnsi="Times New Roman" w:cs="Times New Roman"/>
          <w:szCs w:val="24"/>
        </w:rPr>
        <w:t xml:space="preserve">faculty workload shall include: </w:t>
      </w:r>
      <w:r w:rsidR="003B6FD2" w:rsidRPr="006968C1">
        <w:rPr>
          <w:rFonts w:ascii="Times New Roman" w:hAnsi="Times New Roman" w:cs="Times New Roman"/>
          <w:szCs w:val="24"/>
        </w:rPr>
        <w:t xml:space="preserve"> </w:t>
      </w:r>
      <w:r w:rsidR="00AF261E" w:rsidRPr="006968C1">
        <w:rPr>
          <w:rFonts w:ascii="Times New Roman" w:hAnsi="Times New Roman" w:cs="Times New Roman"/>
          <w:szCs w:val="24"/>
        </w:rPr>
        <w:t xml:space="preserve"> </w:t>
      </w:r>
    </w:p>
    <w:p w14:paraId="3E8E08E1" w14:textId="053FCEC1" w:rsidR="001F5968" w:rsidRPr="006968C1" w:rsidRDefault="002F1565" w:rsidP="006968C1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(1)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Numerically defined teaching workload</w:t>
      </w:r>
      <w:r w:rsidR="00A93DE7" w:rsidRPr="006968C1">
        <w:rPr>
          <w:rFonts w:ascii="Times New Roman" w:hAnsi="Times New Roman" w:cs="Times New Roman"/>
          <w:szCs w:val="24"/>
        </w:rPr>
        <w:t xml:space="preserve">.  An </w:t>
      </w:r>
      <w:r w:rsidR="001F5968" w:rsidRPr="006968C1">
        <w:rPr>
          <w:rFonts w:ascii="Times New Roman" w:hAnsi="Times New Roman" w:cs="Times New Roman"/>
          <w:szCs w:val="24"/>
        </w:rPr>
        <w:t>objective and numerically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defined teaching workload expectation based on credit hours as defined in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34 C.F.R. 600.2.</w:t>
      </w:r>
    </w:p>
    <w:p w14:paraId="1B2268B6" w14:textId="475943AD" w:rsidR="0040613F" w:rsidRPr="006968C1" w:rsidRDefault="00AE66B2" w:rsidP="006968C1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(2)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Definition of faculty workload elements</w:t>
      </w:r>
      <w:r w:rsidRPr="006968C1">
        <w:rPr>
          <w:rFonts w:ascii="Times New Roman" w:hAnsi="Times New Roman" w:cs="Times New Roman"/>
          <w:szCs w:val="24"/>
        </w:rPr>
        <w:t xml:space="preserve">.  </w:t>
      </w:r>
      <w:r w:rsidR="001F5968" w:rsidRPr="006968C1">
        <w:rPr>
          <w:rFonts w:ascii="Times New Roman" w:hAnsi="Times New Roman" w:cs="Times New Roman"/>
          <w:szCs w:val="24"/>
        </w:rPr>
        <w:t>A definition of all faculty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workload elements in terms of credit hours as defined in 34 C.F.R. 600.2,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with a full-time workload minimum standard established by the board of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trustees and made publicly accessible on the university’s website.</w:t>
      </w:r>
      <w:r w:rsidR="005245B4" w:rsidRPr="006968C1">
        <w:rPr>
          <w:rFonts w:ascii="Times New Roman" w:hAnsi="Times New Roman" w:cs="Times New Roman"/>
          <w:szCs w:val="24"/>
        </w:rPr>
        <w:t xml:space="preserve">  </w:t>
      </w:r>
    </w:p>
    <w:p w14:paraId="52E69821" w14:textId="1076F08A" w:rsidR="001F5968" w:rsidRPr="006968C1" w:rsidRDefault="009C4EF7" w:rsidP="006968C1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(3)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Justifiable credit hour equivalents (for non</w:t>
      </w:r>
      <w:r w:rsidRPr="006968C1">
        <w:rPr>
          <w:rFonts w:ascii="Times New Roman" w:hAnsi="Times New Roman" w:cs="Times New Roman"/>
          <w:szCs w:val="24"/>
        </w:rPr>
        <w:t>-</w:t>
      </w:r>
      <w:r w:rsidR="001F5968" w:rsidRPr="006968C1">
        <w:rPr>
          <w:rFonts w:ascii="Times New Roman" w:hAnsi="Times New Roman" w:cs="Times New Roman"/>
          <w:szCs w:val="24"/>
        </w:rPr>
        <w:t>teaching workload)</w:t>
      </w:r>
      <w:r w:rsidRPr="006968C1">
        <w:rPr>
          <w:rFonts w:ascii="Times New Roman" w:hAnsi="Times New Roman" w:cs="Times New Roman"/>
          <w:szCs w:val="24"/>
        </w:rPr>
        <w:t xml:space="preserve">.  </w:t>
      </w:r>
      <w:r w:rsidR="001F5968" w:rsidRPr="006968C1">
        <w:rPr>
          <w:rFonts w:ascii="Times New Roman" w:hAnsi="Times New Roman" w:cs="Times New Roman"/>
          <w:szCs w:val="24"/>
        </w:rPr>
        <w:t>A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definition of justifiable credit hour equivalents for activities other than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teaching, including research, clinical care, administration, service, and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other activities as determined by the university.</w:t>
      </w:r>
    </w:p>
    <w:p w14:paraId="1BD05F88" w14:textId="77777777" w:rsidR="005245B4" w:rsidRPr="006968C1" w:rsidRDefault="001710A0" w:rsidP="004903BC">
      <w:pPr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(B)</w:t>
      </w:r>
      <w:r w:rsidRPr="006968C1">
        <w:rPr>
          <w:rFonts w:ascii="Times New Roman" w:hAnsi="Times New Roman" w:cs="Times New Roman"/>
          <w:szCs w:val="24"/>
        </w:rPr>
        <w:tab/>
        <w:t>Framework for faculty workload allocation.</w:t>
      </w:r>
    </w:p>
    <w:p w14:paraId="4E8D000C" w14:textId="1AC22A6B" w:rsidR="000520C3" w:rsidRPr="006968C1" w:rsidRDefault="005245B4" w:rsidP="006968C1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(1)</w:t>
      </w:r>
      <w:r w:rsidRPr="006968C1">
        <w:rPr>
          <w:rFonts w:ascii="Times New Roman" w:hAnsi="Times New Roman" w:cs="Times New Roman"/>
          <w:szCs w:val="24"/>
        </w:rPr>
        <w:tab/>
        <w:t xml:space="preserve">General principles.  </w:t>
      </w:r>
      <w:r w:rsidR="001F5968" w:rsidRPr="006968C1">
        <w:rPr>
          <w:rFonts w:ascii="Times New Roman" w:hAnsi="Times New Roman" w:cs="Times New Roman"/>
          <w:szCs w:val="24"/>
        </w:rPr>
        <w:t>Full-time faculty members at YSU are expected to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fulfill a set of core professional responsibilities that support shared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governance, student success, and the daily functioning of the academic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enterprise. 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These core professional responsibilities do not constitute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workload reassignment and apply to all full-time faculty members.  These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will be assessed in the faculty annual evaluations as well as for promotion,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tenure, and post-tenure decisions.</w:t>
      </w:r>
    </w:p>
    <w:p w14:paraId="5D1810D7" w14:textId="7827ECAA" w:rsidR="001F5968" w:rsidRPr="006968C1" w:rsidRDefault="000520C3" w:rsidP="006968C1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lastRenderedPageBreak/>
        <w:t>(2)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Core professional responsibilities include:</w:t>
      </w:r>
    </w:p>
    <w:p w14:paraId="7F4AFD37" w14:textId="69F8AD3A" w:rsidR="001F5968" w:rsidRPr="006968C1" w:rsidRDefault="000520C3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(a)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Participation in shared governance to support day-to-day academic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operations</w:t>
      </w:r>
      <w:r w:rsidRPr="006968C1">
        <w:rPr>
          <w:rFonts w:ascii="Times New Roman" w:hAnsi="Times New Roman" w:cs="Times New Roman"/>
          <w:szCs w:val="24"/>
        </w:rPr>
        <w:t>.</w:t>
      </w:r>
    </w:p>
    <w:p w14:paraId="7AE12382" w14:textId="12415AD7" w:rsidR="001F5968" w:rsidRPr="006968C1" w:rsidRDefault="000520C3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(b)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Engagement in student recruitment, mentoring, and advising, including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participation in admissions events, student outreach, and academic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guidance</w:t>
      </w:r>
      <w:r w:rsidRPr="006968C1">
        <w:rPr>
          <w:rFonts w:ascii="Times New Roman" w:hAnsi="Times New Roman" w:cs="Times New Roman"/>
          <w:szCs w:val="24"/>
        </w:rPr>
        <w:t>.</w:t>
      </w:r>
    </w:p>
    <w:p w14:paraId="2A1C2E3C" w14:textId="353BE8BA" w:rsidR="001F5968" w:rsidRPr="006968C1" w:rsidRDefault="000520C3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(c)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Maintaining a regular on-campus presence, except when approved for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0C409B" w:rsidRPr="006968C1">
        <w:rPr>
          <w:rFonts w:ascii="Times New Roman" w:hAnsi="Times New Roman" w:cs="Times New Roman"/>
          <w:szCs w:val="24"/>
        </w:rPr>
        <w:t>Americans with Disabilities Act (</w:t>
      </w:r>
      <w:r w:rsidR="001F5968" w:rsidRPr="006968C1">
        <w:rPr>
          <w:rFonts w:ascii="Times New Roman" w:hAnsi="Times New Roman" w:cs="Times New Roman"/>
          <w:szCs w:val="24"/>
        </w:rPr>
        <w:t>ADA</w:t>
      </w:r>
      <w:r w:rsidR="000C409B" w:rsidRPr="006968C1">
        <w:rPr>
          <w:rFonts w:ascii="Times New Roman" w:hAnsi="Times New Roman" w:cs="Times New Roman"/>
          <w:szCs w:val="24"/>
        </w:rPr>
        <w:t>)</w:t>
      </w:r>
      <w:r w:rsidR="001F5968" w:rsidRPr="006968C1">
        <w:rPr>
          <w:rFonts w:ascii="Times New Roman" w:hAnsi="Times New Roman" w:cs="Times New Roman"/>
          <w:szCs w:val="24"/>
        </w:rPr>
        <w:t xml:space="preserve"> accommodations or remote-only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appointment status</w:t>
      </w:r>
      <w:r w:rsidR="000C409B" w:rsidRPr="006968C1">
        <w:rPr>
          <w:rFonts w:ascii="Times New Roman" w:hAnsi="Times New Roman" w:cs="Times New Roman"/>
          <w:szCs w:val="24"/>
        </w:rPr>
        <w:t>.</w:t>
      </w:r>
    </w:p>
    <w:p w14:paraId="16267EF4" w14:textId="22CBA986" w:rsidR="001F5968" w:rsidRPr="006968C1" w:rsidRDefault="000C409B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(d)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Attending departmental meetings in person, except when approved for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ADA accommodations or remote-only appointment status</w:t>
      </w:r>
      <w:r w:rsidRPr="006968C1">
        <w:rPr>
          <w:rFonts w:ascii="Times New Roman" w:hAnsi="Times New Roman" w:cs="Times New Roman"/>
          <w:szCs w:val="24"/>
        </w:rPr>
        <w:t>.</w:t>
      </w:r>
    </w:p>
    <w:p w14:paraId="5DE1113C" w14:textId="53F4BC04" w:rsidR="001F5968" w:rsidRPr="006968C1" w:rsidRDefault="000C409B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(e)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Participating in at least one commencement ceremony per academic year,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except when approved for ADA accommodations or remote-only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appointment status</w:t>
      </w:r>
      <w:r w:rsidR="00AA686A" w:rsidRPr="006968C1">
        <w:rPr>
          <w:rFonts w:ascii="Times New Roman" w:hAnsi="Times New Roman" w:cs="Times New Roman"/>
          <w:szCs w:val="24"/>
        </w:rPr>
        <w:t>.</w:t>
      </w:r>
    </w:p>
    <w:p w14:paraId="1E5F0649" w14:textId="4EA113A8" w:rsidR="001F5968" w:rsidRPr="006968C1" w:rsidRDefault="00AA686A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(f)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Completing all required information technology, human resources, and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safety trainings</w:t>
      </w:r>
      <w:r w:rsidRPr="006968C1">
        <w:rPr>
          <w:rFonts w:ascii="Times New Roman" w:hAnsi="Times New Roman" w:cs="Times New Roman"/>
          <w:szCs w:val="24"/>
        </w:rPr>
        <w:t>.</w:t>
      </w:r>
    </w:p>
    <w:p w14:paraId="3E80F00B" w14:textId="134388F6" w:rsidR="001F5968" w:rsidRPr="006968C1" w:rsidRDefault="00AA686A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(g)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Contributing professional expertise through occasional public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engagement, such as media commentary, community talks, and industry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presentations</w:t>
      </w:r>
      <w:r w:rsidRPr="006968C1">
        <w:rPr>
          <w:rFonts w:ascii="Times New Roman" w:hAnsi="Times New Roman" w:cs="Times New Roman"/>
          <w:szCs w:val="24"/>
        </w:rPr>
        <w:t>.</w:t>
      </w:r>
      <w:r w:rsidR="005165E7" w:rsidRPr="006968C1">
        <w:rPr>
          <w:rFonts w:ascii="Times New Roman" w:hAnsi="Times New Roman" w:cs="Times New Roman"/>
          <w:szCs w:val="24"/>
        </w:rPr>
        <w:t xml:space="preserve">  </w:t>
      </w:r>
    </w:p>
    <w:p w14:paraId="0ECA80AA" w14:textId="4A35F110" w:rsidR="005165E7" w:rsidRPr="006968C1" w:rsidRDefault="005165E7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(h)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Providing occasional informal professional consultation to community,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government, or nonprofit organizations when appropriate</w:t>
      </w:r>
      <w:r w:rsidRPr="006968C1">
        <w:rPr>
          <w:rFonts w:ascii="Times New Roman" w:hAnsi="Times New Roman" w:cs="Times New Roman"/>
          <w:szCs w:val="24"/>
        </w:rPr>
        <w:t xml:space="preserve">.  </w:t>
      </w:r>
    </w:p>
    <w:p w14:paraId="688F8F3E" w14:textId="13CC7875" w:rsidR="001F5968" w:rsidRPr="006968C1" w:rsidRDefault="005165E7" w:rsidP="006968C1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(3)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Activities that typically do result in workload assignment include:</w:t>
      </w:r>
      <w:r w:rsidR="00857BBA" w:rsidRPr="006968C1">
        <w:rPr>
          <w:rFonts w:ascii="Times New Roman" w:hAnsi="Times New Roman" w:cs="Times New Roman"/>
          <w:szCs w:val="24"/>
        </w:rPr>
        <w:t xml:space="preserve">  </w:t>
      </w:r>
    </w:p>
    <w:p w14:paraId="66772F0A" w14:textId="5DF78ACB" w:rsidR="001F5968" w:rsidRPr="006968C1" w:rsidRDefault="00857BBA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(a)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Teaching</w:t>
      </w:r>
      <w:r w:rsidRPr="006968C1">
        <w:rPr>
          <w:rFonts w:ascii="Times New Roman" w:hAnsi="Times New Roman" w:cs="Times New Roman"/>
          <w:szCs w:val="24"/>
        </w:rPr>
        <w:t xml:space="preserve">.  </w:t>
      </w:r>
    </w:p>
    <w:p w14:paraId="05547398" w14:textId="74FF2922" w:rsidR="001F5968" w:rsidRPr="006968C1" w:rsidRDefault="00857BBA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(b)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Research, scholarship, commercialization, and creative activity (RSCCA)</w:t>
      </w:r>
      <w:r w:rsidRPr="006968C1">
        <w:rPr>
          <w:rFonts w:ascii="Times New Roman" w:hAnsi="Times New Roman" w:cs="Times New Roman"/>
          <w:szCs w:val="24"/>
        </w:rPr>
        <w:t xml:space="preserve">.  </w:t>
      </w:r>
    </w:p>
    <w:p w14:paraId="71CC1FC0" w14:textId="1B9E39D5" w:rsidR="00CB66D3" w:rsidRPr="006968C1" w:rsidRDefault="00857BBA" w:rsidP="006968C1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lastRenderedPageBreak/>
        <w:t>(c)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Public, departmental, or university service that exceeds core professional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responsibilities</w:t>
      </w:r>
      <w:r w:rsidRPr="006968C1">
        <w:rPr>
          <w:rFonts w:ascii="Times New Roman" w:hAnsi="Times New Roman" w:cs="Times New Roman"/>
          <w:szCs w:val="24"/>
        </w:rPr>
        <w:t>.</w:t>
      </w:r>
      <w:r w:rsidR="00CB66D3" w:rsidRPr="006968C1">
        <w:rPr>
          <w:rFonts w:ascii="Times New Roman" w:hAnsi="Times New Roman" w:cs="Times New Roman"/>
          <w:szCs w:val="24"/>
        </w:rPr>
        <w:t xml:space="preserve">  </w:t>
      </w:r>
    </w:p>
    <w:p w14:paraId="329EA53A" w14:textId="0DAE27AE" w:rsidR="001F5968" w:rsidRPr="006968C1" w:rsidRDefault="00CB66D3" w:rsidP="004D22DE">
      <w:pPr>
        <w:ind w:left="216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These areas form the standard</w:t>
      </w:r>
      <w:r w:rsidR="001F5968" w:rsidRPr="006968C1">
        <w:rPr>
          <w:rFonts w:ascii="Times New Roman" w:hAnsi="Times New Roman" w:cs="Times New Roman"/>
          <w:szCs w:val="24"/>
        </w:rPr>
        <w:t xml:space="preserve"> workload for tenure and tenure</w:t>
      </w:r>
      <w:r w:rsidR="007D315F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faculty.</w:t>
      </w:r>
      <w:r w:rsidR="007D315F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For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principal lecturers and non-tenure</w:t>
      </w:r>
      <w:r w:rsidR="007D315F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 assistant professors,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assigned workload normally includes teaching and service. </w:t>
      </w:r>
      <w:r w:rsidR="007D315F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For lecturers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and senior lecturers, assigned workload primarily consists of teaching.</w:t>
      </w:r>
      <w:r w:rsidR="00084E97" w:rsidRPr="006968C1">
        <w:rPr>
          <w:rFonts w:ascii="Times New Roman" w:hAnsi="Times New Roman" w:cs="Times New Roman"/>
          <w:szCs w:val="24"/>
        </w:rPr>
        <w:t xml:space="preserve"> 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084E97" w:rsidRPr="006968C1">
        <w:rPr>
          <w:rFonts w:ascii="Times New Roman" w:hAnsi="Times New Roman" w:cs="Times New Roman"/>
          <w:szCs w:val="24"/>
        </w:rPr>
        <w:t xml:space="preserve">Total workload for full-time faculty </w:t>
      </w:r>
      <w:r w:rsidR="00CD782C" w:rsidRPr="006968C1">
        <w:rPr>
          <w:rFonts w:ascii="Times New Roman" w:hAnsi="Times New Roman" w:cs="Times New Roman"/>
          <w:szCs w:val="24"/>
        </w:rPr>
        <w:t xml:space="preserve">equals </w:t>
      </w:r>
      <w:r w:rsidR="001F5968" w:rsidRPr="006968C1">
        <w:rPr>
          <w:rFonts w:ascii="Times New Roman" w:hAnsi="Times New Roman" w:cs="Times New Roman"/>
          <w:szCs w:val="24"/>
        </w:rPr>
        <w:t>thirty credit</w:t>
      </w:r>
      <w:r w:rsidR="00CD782C" w:rsidRPr="006968C1">
        <w:rPr>
          <w:rFonts w:ascii="Times New Roman" w:hAnsi="Times New Roman" w:cs="Times New Roman"/>
          <w:szCs w:val="24"/>
        </w:rPr>
        <w:t>-</w:t>
      </w:r>
      <w:r w:rsidR="001F5968" w:rsidRPr="006968C1">
        <w:rPr>
          <w:rFonts w:ascii="Times New Roman" w:hAnsi="Times New Roman" w:cs="Times New Roman"/>
          <w:szCs w:val="24"/>
        </w:rPr>
        <w:t>hour and/or credit</w:t>
      </w:r>
      <w:r w:rsidR="00CD782C" w:rsidRPr="006968C1">
        <w:rPr>
          <w:rFonts w:ascii="Times New Roman" w:hAnsi="Times New Roman" w:cs="Times New Roman"/>
          <w:szCs w:val="24"/>
        </w:rPr>
        <w:t>-</w:t>
      </w:r>
      <w:r w:rsidR="001F5968" w:rsidRPr="006968C1">
        <w:rPr>
          <w:rFonts w:ascii="Times New Roman" w:hAnsi="Times New Roman" w:cs="Times New Roman"/>
          <w:szCs w:val="24"/>
        </w:rPr>
        <w:t>hour equivalents per academic year, allocated across:</w:t>
      </w:r>
      <w:r w:rsidR="003131CC" w:rsidRPr="006968C1">
        <w:rPr>
          <w:rFonts w:ascii="Times New Roman" w:hAnsi="Times New Roman" w:cs="Times New Roman"/>
          <w:szCs w:val="24"/>
        </w:rPr>
        <w:t xml:space="preserve">  </w:t>
      </w:r>
    </w:p>
    <w:p w14:paraId="0B35788B" w14:textId="3D9EA752" w:rsidR="001F5968" w:rsidRPr="006968C1" w:rsidRDefault="003131CC" w:rsidP="004D22DE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Teaching</w:t>
      </w:r>
      <w:r w:rsidRPr="006968C1">
        <w:rPr>
          <w:rFonts w:ascii="Times New Roman" w:hAnsi="Times New Roman" w:cs="Times New Roman"/>
          <w:szCs w:val="24"/>
        </w:rPr>
        <w:t xml:space="preserve">.  </w:t>
      </w:r>
    </w:p>
    <w:p w14:paraId="4A5A87E7" w14:textId="501EAD98" w:rsidR="003131CC" w:rsidRPr="006968C1" w:rsidRDefault="003131CC" w:rsidP="004D22DE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(ii)</w:t>
      </w:r>
      <w:r w:rsidRPr="006968C1">
        <w:rPr>
          <w:rFonts w:ascii="Times New Roman" w:hAnsi="Times New Roman" w:cs="Times New Roman"/>
          <w:szCs w:val="24"/>
        </w:rPr>
        <w:tab/>
        <w:t>Non-teaching activities, including</w:t>
      </w:r>
      <w:r w:rsidR="00B97E4A" w:rsidRPr="006968C1">
        <w:rPr>
          <w:rFonts w:ascii="Times New Roman" w:hAnsi="Times New Roman" w:cs="Times New Roman"/>
          <w:szCs w:val="24"/>
        </w:rPr>
        <w:t xml:space="preserve"> RSCCA and service.</w:t>
      </w:r>
    </w:p>
    <w:p w14:paraId="6524FB8C" w14:textId="6145BC7A" w:rsidR="00B97E4A" w:rsidRPr="006968C1" w:rsidRDefault="00B97E4A" w:rsidP="004D22DE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(iii)</w:t>
      </w:r>
      <w:r w:rsidRPr="006968C1">
        <w:rPr>
          <w:rFonts w:ascii="Times New Roman" w:hAnsi="Times New Roman" w:cs="Times New Roman"/>
          <w:szCs w:val="24"/>
        </w:rPr>
        <w:tab/>
        <w:t>Other approved duties, including</w:t>
      </w:r>
      <w:r w:rsidR="00127BBB" w:rsidRPr="006968C1">
        <w:rPr>
          <w:rFonts w:ascii="Times New Roman" w:hAnsi="Times New Roman" w:cs="Times New Roman"/>
          <w:szCs w:val="24"/>
        </w:rPr>
        <w:t xml:space="preserve"> discipline-specific clinical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27BBB" w:rsidRPr="006968C1">
        <w:rPr>
          <w:rFonts w:ascii="Times New Roman" w:hAnsi="Times New Roman" w:cs="Times New Roman"/>
          <w:szCs w:val="24"/>
        </w:rPr>
        <w:t>supervision and education, administrative assignments, and other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27BBB" w:rsidRPr="006968C1">
        <w:rPr>
          <w:rFonts w:ascii="Times New Roman" w:hAnsi="Times New Roman" w:cs="Times New Roman"/>
          <w:szCs w:val="24"/>
        </w:rPr>
        <w:t>responsibilities</w:t>
      </w:r>
      <w:r w:rsidR="00441A94" w:rsidRPr="006968C1">
        <w:rPr>
          <w:rFonts w:ascii="Times New Roman" w:hAnsi="Times New Roman" w:cs="Times New Roman"/>
          <w:szCs w:val="24"/>
        </w:rPr>
        <w:t xml:space="preserve"> aligned with institutional needs.  </w:t>
      </w:r>
    </w:p>
    <w:p w14:paraId="413A8C41" w14:textId="42D2DC7F" w:rsidR="001F5968" w:rsidRPr="006968C1" w:rsidRDefault="00441A94" w:rsidP="004D22DE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(4)</w:t>
      </w:r>
      <w:r w:rsidRPr="006968C1">
        <w:rPr>
          <w:rFonts w:ascii="Times New Roman" w:hAnsi="Times New Roman" w:cs="Times New Roman"/>
          <w:szCs w:val="24"/>
        </w:rPr>
        <w:tab/>
      </w:r>
      <w:r w:rsidR="000915BE" w:rsidRPr="006968C1">
        <w:rPr>
          <w:rFonts w:ascii="Times New Roman" w:hAnsi="Times New Roman" w:cs="Times New Roman"/>
          <w:szCs w:val="24"/>
        </w:rPr>
        <w:t>Teaching (measured in credit hours).</w:t>
      </w:r>
      <w:r w:rsidR="00213060" w:rsidRPr="006968C1">
        <w:rPr>
          <w:rFonts w:ascii="Times New Roman" w:hAnsi="Times New Roman" w:cs="Times New Roman"/>
          <w:szCs w:val="24"/>
        </w:rPr>
        <w:t xml:space="preserve">  </w:t>
      </w:r>
      <w:r w:rsidR="001D6F32" w:rsidRPr="006968C1">
        <w:rPr>
          <w:rFonts w:ascii="Times New Roman" w:hAnsi="Times New Roman" w:cs="Times New Roman"/>
          <w:szCs w:val="24"/>
        </w:rPr>
        <w:t>The teaching needs of the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D6F32" w:rsidRPr="006968C1">
        <w:rPr>
          <w:rFonts w:ascii="Times New Roman" w:hAnsi="Times New Roman" w:cs="Times New Roman"/>
          <w:szCs w:val="24"/>
        </w:rPr>
        <w:t xml:space="preserve">department or school will be considered in determining </w:t>
      </w:r>
      <w:r w:rsidR="001F5968" w:rsidRPr="006968C1">
        <w:rPr>
          <w:rFonts w:ascii="Times New Roman" w:hAnsi="Times New Roman" w:cs="Times New Roman"/>
          <w:szCs w:val="24"/>
        </w:rPr>
        <w:t>whether a faculty member</w:t>
      </w:r>
      <w:r w:rsidR="0069288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is assigned a teaching workload that is lower than the standards listed below.</w:t>
      </w:r>
      <w:r w:rsidR="00692882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Such recommendations must originate from the department chair or school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director and be approved by the dean with final approval by the provost.</w:t>
      </w:r>
      <w:r w:rsidR="00E905EA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However, the university acknowledges the Ohio department of higher education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(ODHE) standards for instructional workloads (see </w:t>
      </w:r>
      <w:r w:rsidR="00AB09E5" w:rsidRPr="006968C1">
        <w:rPr>
          <w:rFonts w:ascii="Times New Roman" w:hAnsi="Times New Roman" w:cs="Times New Roman"/>
          <w:szCs w:val="24"/>
        </w:rPr>
        <w:t xml:space="preserve">paragraph (D) </w:t>
      </w:r>
      <w:r w:rsidR="00701F5C">
        <w:rPr>
          <w:rFonts w:ascii="Times New Roman" w:hAnsi="Times New Roman" w:cs="Times New Roman"/>
          <w:szCs w:val="24"/>
        </w:rPr>
        <w:t>o</w:t>
      </w:r>
      <w:r w:rsidR="00AB09E5" w:rsidRPr="006968C1">
        <w:rPr>
          <w:rFonts w:ascii="Times New Roman" w:hAnsi="Times New Roman" w:cs="Times New Roman"/>
          <w:szCs w:val="24"/>
        </w:rPr>
        <w:t>f this rule</w:t>
      </w:r>
      <w:r w:rsidR="001F5968" w:rsidRPr="006968C1">
        <w:rPr>
          <w:rFonts w:ascii="Times New Roman" w:hAnsi="Times New Roman" w:cs="Times New Roman"/>
          <w:szCs w:val="24"/>
        </w:rPr>
        <w:t>) and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will use these general norms as a guide for total workload within a program.</w:t>
      </w:r>
      <w:r w:rsidR="00E905EA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In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addition, for full-time tenured or tenure</w:t>
      </w:r>
      <w:r w:rsidR="008B3BF8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 faculty employed for the academic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year, overload compensation shall be paid for a teaching assignment of more than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twenty-four credit hours for faculty assigned twenty-four teaching hours.</w:t>
      </w:r>
      <w:r w:rsidR="00E905EA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Overload compensation shall be paid to non-tenure track faculty for teaching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assignments of more than thirty teaching hours for faculty assigned thirty teaching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hours.</w:t>
      </w:r>
      <w:r w:rsidR="008B3BF8" w:rsidRPr="006968C1">
        <w:rPr>
          <w:rFonts w:ascii="Times New Roman" w:hAnsi="Times New Roman" w:cs="Times New Roman"/>
          <w:szCs w:val="24"/>
        </w:rPr>
        <w:t xml:space="preserve">  </w:t>
      </w:r>
    </w:p>
    <w:p w14:paraId="08F3A92B" w14:textId="1B568DBE" w:rsidR="001F10AA" w:rsidRPr="006968C1" w:rsidRDefault="001F10AA" w:rsidP="00772D74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lastRenderedPageBreak/>
        <w:t>(a)</w:t>
      </w:r>
      <w:r w:rsidRPr="006968C1">
        <w:rPr>
          <w:rFonts w:ascii="Times New Roman" w:hAnsi="Times New Roman" w:cs="Times New Roman"/>
          <w:szCs w:val="24"/>
        </w:rPr>
        <w:tab/>
        <w:t>A</w:t>
      </w:r>
      <w:r w:rsidR="001F5968" w:rsidRPr="006968C1">
        <w:rPr>
          <w:rFonts w:ascii="Times New Roman" w:hAnsi="Times New Roman" w:cs="Times New Roman"/>
          <w:szCs w:val="24"/>
        </w:rPr>
        <w:t xml:space="preserve"> standard teaching load for tenured and tenure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 faculty (including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clinical faculty) on nine-month contracts is twenty-four semester hours, or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twenty-four credit hours, per academic year (eighty per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cent of total individual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workload).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714DB8AC" w14:textId="0CB24BF8" w:rsidR="001F5968" w:rsidRPr="006968C1" w:rsidRDefault="001F10AA" w:rsidP="00772D74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(b)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A standard teaching load for non-tenure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 faculty (lecturers, senior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lecturers, principal lecturers, non-tenure track assistant professors) on nine-month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contracts is thirty semester hours, or thirty credit hours, per academic year (one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hundred per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cent of total individual workload).</w:t>
      </w:r>
      <w:r w:rsidR="00A83E83" w:rsidRPr="006968C1">
        <w:rPr>
          <w:rFonts w:ascii="Times New Roman" w:hAnsi="Times New Roman" w:cs="Times New Roman"/>
          <w:szCs w:val="24"/>
        </w:rPr>
        <w:t xml:space="preserve">  </w:t>
      </w:r>
    </w:p>
    <w:p w14:paraId="5648513C" w14:textId="12A43ED2" w:rsidR="001F5968" w:rsidRPr="006968C1" w:rsidRDefault="00A83E83" w:rsidP="00772D74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(5)</w:t>
      </w:r>
      <w:r w:rsidRPr="006968C1">
        <w:rPr>
          <w:rFonts w:ascii="Times New Roman" w:hAnsi="Times New Roman" w:cs="Times New Roman"/>
          <w:szCs w:val="24"/>
        </w:rPr>
        <w:tab/>
        <w:t>Non-teaching (measured in credit hour equivalents).</w:t>
      </w:r>
      <w:r w:rsidR="00FB7B71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RSCCA and service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are expected from every tenured and tenure</w:t>
      </w:r>
      <w:r w:rsidR="00FB7B71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 faculty member.  Service, but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not RSCCA, is expected from principal lecturers and non-tenure track assistant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professors.  There is no expectation of RSCCA or service beyond minimal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departmental service for lecturers or senior lecturers.  Section 3345.452 of the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Revised Code requires that workload for activities other than teaching shall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include performance expectations to serve as the basis for the performance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evaluations. </w:t>
      </w:r>
      <w:r w:rsidR="00F92B83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When these activities account for greater than five per</w:t>
      </w:r>
      <w:r w:rsidR="00F92B83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cent of total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academic year workload, a clear description of the service project or RSCCA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expectations and accomplishments shall be included with all reassigned workload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approvals.</w:t>
      </w:r>
      <w:r w:rsidR="00F92B83" w:rsidRPr="006968C1">
        <w:rPr>
          <w:rFonts w:ascii="Times New Roman" w:hAnsi="Times New Roman" w:cs="Times New Roman"/>
          <w:szCs w:val="24"/>
        </w:rPr>
        <w:t xml:space="preserve">  </w:t>
      </w:r>
    </w:p>
    <w:p w14:paraId="3BC5BC73" w14:textId="7DA70588" w:rsidR="000E463B" w:rsidRPr="006968C1" w:rsidRDefault="00705B65" w:rsidP="00772D74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(a)</w:t>
      </w:r>
      <w:r w:rsidRPr="006968C1">
        <w:rPr>
          <w:rFonts w:ascii="Times New Roman" w:hAnsi="Times New Roman" w:cs="Times New Roman"/>
          <w:szCs w:val="24"/>
        </w:rPr>
        <w:tab/>
        <w:t xml:space="preserve">Tenured/tenure track.  The minimum </w:t>
      </w:r>
      <w:r w:rsidR="001F5968" w:rsidRPr="006968C1">
        <w:rPr>
          <w:rFonts w:ascii="Times New Roman" w:hAnsi="Times New Roman" w:cs="Times New Roman"/>
          <w:szCs w:val="24"/>
        </w:rPr>
        <w:t>expectation for service activity and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RSCCA for a tenure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track or tenured faculty member is six total credit hours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equivalents per academic year (twenty per</w:t>
      </w:r>
      <w:r w:rsidR="001C3E38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cent of total thirty-hour workload).</w:t>
      </w:r>
      <w:r w:rsidR="00E905EA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Within any program, it is recognized there will be differences among faculty in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specific workload components, including but not limited to:</w:t>
      </w:r>
      <w:r w:rsidR="000E463B" w:rsidRPr="006968C1">
        <w:rPr>
          <w:rFonts w:ascii="Times New Roman" w:hAnsi="Times New Roman" w:cs="Times New Roman"/>
          <w:szCs w:val="24"/>
        </w:rPr>
        <w:t xml:space="preserve">  </w:t>
      </w:r>
    </w:p>
    <w:p w14:paraId="127EEBC0" w14:textId="195C606E" w:rsidR="000E463B" w:rsidRPr="006968C1" w:rsidRDefault="000E463B" w:rsidP="00772D74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RSCCA productivity, which may include workload funded by external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grants</w:t>
      </w:r>
      <w:r w:rsidRPr="006968C1">
        <w:rPr>
          <w:rFonts w:ascii="Times New Roman" w:hAnsi="Times New Roman" w:cs="Times New Roman"/>
          <w:szCs w:val="24"/>
        </w:rPr>
        <w:t xml:space="preserve">; </w:t>
      </w:r>
    </w:p>
    <w:p w14:paraId="617D47FD" w14:textId="77777777" w:rsidR="000E463B" w:rsidRPr="006968C1" w:rsidRDefault="000E463B" w:rsidP="00772D74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lastRenderedPageBreak/>
        <w:t>(ii)</w:t>
      </w:r>
      <w:r w:rsidRPr="006968C1">
        <w:rPr>
          <w:rFonts w:ascii="Times New Roman" w:hAnsi="Times New Roman" w:cs="Times New Roman"/>
          <w:szCs w:val="24"/>
        </w:rPr>
        <w:tab/>
        <w:t>D</w:t>
      </w:r>
      <w:r w:rsidR="001F5968" w:rsidRPr="006968C1">
        <w:rPr>
          <w:rFonts w:ascii="Times New Roman" w:hAnsi="Times New Roman" w:cs="Times New Roman"/>
          <w:szCs w:val="24"/>
        </w:rPr>
        <w:t>epartment, college, and university service responsibilities</w:t>
      </w:r>
      <w:r w:rsidRPr="006968C1">
        <w:rPr>
          <w:rFonts w:ascii="Times New Roman" w:hAnsi="Times New Roman" w:cs="Times New Roman"/>
          <w:szCs w:val="24"/>
        </w:rPr>
        <w:t xml:space="preserve">; </w:t>
      </w:r>
    </w:p>
    <w:p w14:paraId="0649DA66" w14:textId="77777777" w:rsidR="000E463B" w:rsidRPr="006968C1" w:rsidRDefault="000E463B" w:rsidP="00772D74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(iii)</w:t>
      </w:r>
      <w:r w:rsidRPr="006968C1">
        <w:rPr>
          <w:rFonts w:ascii="Times New Roman" w:hAnsi="Times New Roman" w:cs="Times New Roman"/>
          <w:szCs w:val="24"/>
        </w:rPr>
        <w:tab/>
        <w:t>A</w:t>
      </w:r>
      <w:r w:rsidR="001F5968" w:rsidRPr="006968C1">
        <w:rPr>
          <w:rFonts w:ascii="Times New Roman" w:hAnsi="Times New Roman" w:cs="Times New Roman"/>
          <w:szCs w:val="24"/>
        </w:rPr>
        <w:t>dministrative duties</w:t>
      </w:r>
      <w:r w:rsidRPr="006968C1">
        <w:rPr>
          <w:rFonts w:ascii="Times New Roman" w:hAnsi="Times New Roman" w:cs="Times New Roman"/>
          <w:szCs w:val="24"/>
        </w:rPr>
        <w:t>;</w:t>
      </w:r>
      <w:r w:rsidR="001F5968" w:rsidRPr="006968C1">
        <w:rPr>
          <w:rFonts w:ascii="Times New Roman" w:hAnsi="Times New Roman" w:cs="Times New Roman"/>
          <w:szCs w:val="24"/>
        </w:rPr>
        <w:t xml:space="preserve"> and</w:t>
      </w:r>
    </w:p>
    <w:p w14:paraId="392ACBEE" w14:textId="0BFBE288" w:rsidR="00890018" w:rsidRPr="006968C1" w:rsidRDefault="000E463B" w:rsidP="00772D74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(iv)</w:t>
      </w:r>
      <w:r w:rsidRPr="006968C1">
        <w:rPr>
          <w:rFonts w:ascii="Times New Roman" w:hAnsi="Times New Roman" w:cs="Times New Roman"/>
          <w:szCs w:val="24"/>
        </w:rPr>
        <w:tab/>
        <w:t>O</w:t>
      </w:r>
      <w:r w:rsidR="001F5968" w:rsidRPr="006968C1">
        <w:rPr>
          <w:rFonts w:ascii="Times New Roman" w:hAnsi="Times New Roman" w:cs="Times New Roman"/>
          <w:szCs w:val="24"/>
        </w:rPr>
        <w:t>ther special instructional assignments, such that tenured/tenure track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faculty may teach less than eighty per</w:t>
      </w:r>
      <w:r w:rsidR="00817D83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cent of their total individual workload in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any given academic year.</w:t>
      </w:r>
    </w:p>
    <w:p w14:paraId="0302C146" w14:textId="3B742309" w:rsidR="00E905EA" w:rsidRPr="006968C1" w:rsidRDefault="00890018" w:rsidP="005C3F4C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</w:t>
      </w:r>
      <w:r w:rsidR="005C3F4C">
        <w:rPr>
          <w:rFonts w:ascii="Times New Roman" w:hAnsi="Times New Roman" w:cs="Times New Roman"/>
          <w:szCs w:val="24"/>
        </w:rPr>
        <w:t>b</w:t>
      </w:r>
      <w:r w:rsidRPr="006968C1">
        <w:rPr>
          <w:rFonts w:ascii="Times New Roman" w:hAnsi="Times New Roman" w:cs="Times New Roman"/>
          <w:szCs w:val="24"/>
        </w:rPr>
        <w:t>)</w:t>
      </w:r>
      <w:r w:rsidRPr="006968C1">
        <w:rPr>
          <w:rFonts w:ascii="Times New Roman" w:hAnsi="Times New Roman" w:cs="Times New Roman"/>
          <w:szCs w:val="24"/>
        </w:rPr>
        <w:tab/>
      </w:r>
      <w:r w:rsidR="00BA5514" w:rsidRPr="006968C1">
        <w:rPr>
          <w:rFonts w:ascii="Times New Roman" w:hAnsi="Times New Roman" w:cs="Times New Roman"/>
          <w:szCs w:val="24"/>
        </w:rPr>
        <w:t xml:space="preserve">Service.  </w:t>
      </w:r>
      <w:r w:rsidR="001F5968" w:rsidRPr="006968C1">
        <w:rPr>
          <w:rFonts w:ascii="Times New Roman" w:hAnsi="Times New Roman" w:cs="Times New Roman"/>
          <w:szCs w:val="24"/>
        </w:rPr>
        <w:t>In instances where the service activity is beyond core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professional responsibilities, and with approval by the dean, a department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chair/school director may recommend reassigned time that either lowers the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standard teaching workload or results in overload or supplemental pay.</w:t>
      </w:r>
      <w:r w:rsidR="00E905EA" w:rsidRPr="006968C1">
        <w:rPr>
          <w:rFonts w:ascii="Times New Roman" w:hAnsi="Times New Roman" w:cs="Times New Roman"/>
          <w:szCs w:val="24"/>
        </w:rPr>
        <w:t xml:space="preserve">  </w:t>
      </w:r>
    </w:p>
    <w:p w14:paraId="4F20D083" w14:textId="1131641C" w:rsidR="00FF39C8" w:rsidRPr="006968C1" w:rsidRDefault="00BA5514" w:rsidP="005C3F4C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</w:t>
      </w:r>
      <w:r w:rsidR="005C3F4C">
        <w:rPr>
          <w:rFonts w:ascii="Times New Roman" w:hAnsi="Times New Roman" w:cs="Times New Roman"/>
          <w:szCs w:val="24"/>
        </w:rPr>
        <w:t>c</w:t>
      </w:r>
      <w:r w:rsidRPr="006968C1">
        <w:rPr>
          <w:rFonts w:ascii="Times New Roman" w:hAnsi="Times New Roman" w:cs="Times New Roman"/>
          <w:szCs w:val="24"/>
        </w:rPr>
        <w:t>)</w:t>
      </w:r>
      <w:r w:rsidRPr="006968C1">
        <w:rPr>
          <w:rFonts w:ascii="Times New Roman" w:hAnsi="Times New Roman" w:cs="Times New Roman"/>
          <w:szCs w:val="24"/>
        </w:rPr>
        <w:tab/>
        <w:t xml:space="preserve">RSCCA.  In </w:t>
      </w:r>
      <w:r w:rsidR="001F5968" w:rsidRPr="006968C1">
        <w:rPr>
          <w:rFonts w:ascii="Times New Roman" w:hAnsi="Times New Roman" w:cs="Times New Roman"/>
          <w:szCs w:val="24"/>
        </w:rPr>
        <w:t>consultation with the faculty member and when approved by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the dean, a department chair or school director may provide reassigned/non-teaching hours if the RSCCA justifies the credit hour equivalents. 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This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reassigned time may result in a reduction in the standard teaching load or result in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overload pay.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5A72501C" w14:textId="44FC160A" w:rsidR="001F5968" w:rsidRPr="006968C1" w:rsidRDefault="00FF39C8" w:rsidP="005C3F4C">
      <w:pPr>
        <w:ind w:left="216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 xml:space="preserve">Faculty members may </w:t>
      </w:r>
      <w:r w:rsidR="001F5968" w:rsidRPr="006968C1">
        <w:rPr>
          <w:rFonts w:ascii="Times New Roman" w:hAnsi="Times New Roman" w:cs="Times New Roman"/>
          <w:szCs w:val="24"/>
        </w:rPr>
        <w:t>buy out additional RSCCA workload credit hour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equivalents using external grant funds, reducing accordingly their teaching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assignment.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1AF2C798" w14:textId="059A5EB4" w:rsidR="00EC3144" w:rsidRPr="006968C1" w:rsidRDefault="00D31890" w:rsidP="005C3F4C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</w:t>
      </w:r>
      <w:r w:rsidR="005C3F4C">
        <w:rPr>
          <w:rFonts w:ascii="Times New Roman" w:hAnsi="Times New Roman" w:cs="Times New Roman"/>
          <w:szCs w:val="24"/>
        </w:rPr>
        <w:t>d</w:t>
      </w:r>
      <w:r w:rsidRPr="006968C1">
        <w:rPr>
          <w:rFonts w:ascii="Times New Roman" w:hAnsi="Times New Roman" w:cs="Times New Roman"/>
          <w:szCs w:val="24"/>
        </w:rPr>
        <w:t>)</w:t>
      </w:r>
      <w:r w:rsidRPr="006968C1">
        <w:rPr>
          <w:rFonts w:ascii="Times New Roman" w:hAnsi="Times New Roman" w:cs="Times New Roman"/>
          <w:szCs w:val="24"/>
        </w:rPr>
        <w:tab/>
        <w:t xml:space="preserve">Non-tenure track.  Depending on </w:t>
      </w:r>
      <w:r w:rsidR="001F5968" w:rsidRPr="006968C1">
        <w:rPr>
          <w:rFonts w:ascii="Times New Roman" w:hAnsi="Times New Roman" w:cs="Times New Roman"/>
          <w:szCs w:val="24"/>
        </w:rPr>
        <w:t>non-tenure appointment type, service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activity expectations are minimal (lecturers and senior lecturers) or prescribed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(principal lecturers and non-tenure track assistant professors).  There is no</w:t>
      </w:r>
      <w:r w:rsidR="00E905EA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expectation of RSCCA for non-tenure track faculty.</w:t>
      </w:r>
      <w:r w:rsidR="00EC3144" w:rsidRPr="006968C1">
        <w:rPr>
          <w:rFonts w:ascii="Times New Roman" w:hAnsi="Times New Roman" w:cs="Times New Roman"/>
          <w:szCs w:val="24"/>
        </w:rPr>
        <w:t xml:space="preserve">  </w:t>
      </w:r>
    </w:p>
    <w:p w14:paraId="13A8F04E" w14:textId="1BF489B9" w:rsidR="001F5968" w:rsidRPr="006968C1" w:rsidRDefault="00EC3144" w:rsidP="005C3F4C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(i)</w:t>
      </w:r>
      <w:r w:rsidRPr="006968C1">
        <w:rPr>
          <w:rFonts w:ascii="Times New Roman" w:hAnsi="Times New Roman" w:cs="Times New Roman"/>
          <w:szCs w:val="24"/>
        </w:rPr>
        <w:tab/>
        <w:t xml:space="preserve">Service.  Principal </w:t>
      </w:r>
      <w:r w:rsidR="001F5968" w:rsidRPr="006968C1">
        <w:rPr>
          <w:rFonts w:ascii="Times New Roman" w:hAnsi="Times New Roman" w:cs="Times New Roman"/>
          <w:szCs w:val="24"/>
        </w:rPr>
        <w:t>lecturers and non-tenure track assistant professors are expected to engage in service activity at the university and within the community.</w:t>
      </w:r>
      <w:r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 xml:space="preserve">In instances where the service activity is beyond core professional responsibilities, and with approval by the dean, a department </w:t>
      </w:r>
      <w:r w:rsidR="001F5968" w:rsidRPr="006968C1">
        <w:rPr>
          <w:rFonts w:ascii="Times New Roman" w:hAnsi="Times New Roman" w:cs="Times New Roman"/>
          <w:szCs w:val="24"/>
        </w:rPr>
        <w:lastRenderedPageBreak/>
        <w:t>chair/school director may recommend reassigned time that either lowers teaching workload or results in overload or supplemental pay.</w:t>
      </w:r>
      <w:r w:rsidR="00A428BA" w:rsidRPr="006968C1">
        <w:rPr>
          <w:rFonts w:ascii="Times New Roman" w:hAnsi="Times New Roman" w:cs="Times New Roman"/>
          <w:szCs w:val="24"/>
        </w:rPr>
        <w:t xml:space="preserve">  </w:t>
      </w:r>
    </w:p>
    <w:p w14:paraId="531794DC" w14:textId="3DA57C59" w:rsidR="001F5968" w:rsidRPr="006968C1" w:rsidRDefault="00A428BA" w:rsidP="005C3F4C">
      <w:pPr>
        <w:ind w:left="288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(ii)</w:t>
      </w:r>
      <w:r w:rsidRPr="006968C1">
        <w:rPr>
          <w:rFonts w:ascii="Times New Roman" w:hAnsi="Times New Roman" w:cs="Times New Roman"/>
          <w:szCs w:val="24"/>
        </w:rPr>
        <w:tab/>
        <w:t>RSCCA.  In rare cases, a</w:t>
      </w:r>
      <w:r w:rsidR="001F5968" w:rsidRPr="006968C1">
        <w:rPr>
          <w:rFonts w:ascii="Times New Roman" w:hAnsi="Times New Roman" w:cs="Times New Roman"/>
          <w:szCs w:val="24"/>
        </w:rPr>
        <w:t>nd subject to approval by the dean, a department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chair/school director may recommend RSCCA workload for non-tenure track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faculty.</w:t>
      </w:r>
      <w:r w:rsidR="007B3B2B" w:rsidRPr="006968C1">
        <w:rPr>
          <w:rFonts w:ascii="Times New Roman" w:hAnsi="Times New Roman" w:cs="Times New Roman"/>
          <w:szCs w:val="24"/>
        </w:rPr>
        <w:t xml:space="preserve">  </w:t>
      </w:r>
    </w:p>
    <w:p w14:paraId="4AB6A26C" w14:textId="5BDE6783" w:rsidR="001F5968" w:rsidRPr="006968C1" w:rsidRDefault="007B3B2B" w:rsidP="005C3F4C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(6)</w:t>
      </w:r>
      <w:r w:rsidRPr="006968C1">
        <w:rPr>
          <w:rFonts w:ascii="Times New Roman" w:hAnsi="Times New Roman" w:cs="Times New Roman"/>
          <w:szCs w:val="24"/>
        </w:rPr>
        <w:tab/>
        <w:t xml:space="preserve">Other.  Not all programs or faculty roles </w:t>
      </w:r>
      <w:r w:rsidR="001F5968" w:rsidRPr="006968C1">
        <w:rPr>
          <w:rFonts w:ascii="Times New Roman" w:hAnsi="Times New Roman" w:cs="Times New Roman"/>
          <w:szCs w:val="24"/>
        </w:rPr>
        <w:t>fit neatly into the above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categories. </w:t>
      </w:r>
      <w:r w:rsidR="00E07884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Section 3345.452 of the Revised Code requires that workload for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activities other than teaching shall include performance expectations to serve as the basis for the performance evaluations. </w:t>
      </w:r>
      <w:r w:rsidR="00263DC8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When these activities account for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greater than five per</w:t>
      </w:r>
      <w:r w:rsidR="00263DC8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cent of total academic year workload, a clear description of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the project or assigned administrative duty expectations and accomplishments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shall be included with all reassigned workload approvals.  Upon approval by the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dean and/or provost, adjustments to workload expectations may be made for:</w:t>
      </w:r>
      <w:r w:rsidR="00F13266" w:rsidRPr="006968C1">
        <w:rPr>
          <w:rFonts w:ascii="Times New Roman" w:hAnsi="Times New Roman" w:cs="Times New Roman"/>
          <w:szCs w:val="24"/>
        </w:rPr>
        <w:t xml:space="preserve">  </w:t>
      </w:r>
    </w:p>
    <w:p w14:paraId="23BA0181" w14:textId="3D5897B2" w:rsidR="001F5968" w:rsidRPr="006968C1" w:rsidRDefault="00F13266" w:rsidP="005C3F4C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(a)</w:t>
      </w:r>
      <w:r w:rsidRPr="006968C1">
        <w:rPr>
          <w:rFonts w:ascii="Times New Roman" w:hAnsi="Times New Roman" w:cs="Times New Roman"/>
          <w:szCs w:val="24"/>
        </w:rPr>
        <w:tab/>
        <w:t>Discipline-specific:  clinical supervision and education.  In departments or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schools where clinical education is part of the curriculum, a full-time faculty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member may be assigned workload hours to conduct clinical supervision or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education.</w:t>
      </w:r>
      <w:r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Such an assignment normally replaces RSCCA workload, although in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some cases (depending on departmental needs) the clinical workload assignment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may replace teaching or service workload.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57B43542" w14:textId="02E5F534" w:rsidR="001F5968" w:rsidRPr="006968C1" w:rsidRDefault="00F13266" w:rsidP="005C3F4C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(b)</w:t>
      </w:r>
      <w:r w:rsidRPr="006968C1">
        <w:rPr>
          <w:rFonts w:ascii="Times New Roman" w:hAnsi="Times New Roman" w:cs="Times New Roman"/>
          <w:szCs w:val="24"/>
        </w:rPr>
        <w:tab/>
        <w:t xml:space="preserve">Administrative duties.  In some cases, </w:t>
      </w:r>
      <w:r w:rsidR="001F5968" w:rsidRPr="006968C1">
        <w:rPr>
          <w:rFonts w:ascii="Times New Roman" w:hAnsi="Times New Roman" w:cs="Times New Roman"/>
          <w:szCs w:val="24"/>
        </w:rPr>
        <w:t>full-time faculty on nine-month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appointments may be assigned administrative duties as part of their total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workload. 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Such assignments must be clearly documented and approved by the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dean and the provost.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21497643" w14:textId="093E4ACD" w:rsidR="00AB064D" w:rsidRPr="006968C1" w:rsidRDefault="00F13266" w:rsidP="005C3F4C">
      <w:pPr>
        <w:ind w:left="216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(c)</w:t>
      </w:r>
      <w:r w:rsidRPr="006968C1">
        <w:rPr>
          <w:rFonts w:ascii="Times New Roman" w:hAnsi="Times New Roman" w:cs="Times New Roman"/>
          <w:szCs w:val="24"/>
        </w:rPr>
        <w:tab/>
        <w:t xml:space="preserve">Other duties.  Other duties that align with </w:t>
      </w:r>
      <w:r w:rsidR="001F5968" w:rsidRPr="006968C1">
        <w:rPr>
          <w:rFonts w:ascii="Times New Roman" w:hAnsi="Times New Roman" w:cs="Times New Roman"/>
          <w:szCs w:val="24"/>
        </w:rPr>
        <w:t>the strategic mission of the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university/college/department may be </w:t>
      </w:r>
      <w:r w:rsidR="001F5968" w:rsidRPr="006968C1">
        <w:rPr>
          <w:rFonts w:ascii="Times New Roman" w:hAnsi="Times New Roman" w:cs="Times New Roman"/>
          <w:szCs w:val="24"/>
        </w:rPr>
        <w:lastRenderedPageBreak/>
        <w:t>assigned to faculty members and with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approval from the dean and the provost, receive reassigned time.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109AA6D4" w14:textId="0F53F15D" w:rsidR="007A525D" w:rsidRPr="006968C1" w:rsidRDefault="00AB064D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(C)</w:t>
      </w:r>
      <w:r w:rsidRPr="006968C1">
        <w:rPr>
          <w:rFonts w:ascii="Times New Roman" w:hAnsi="Times New Roman" w:cs="Times New Roman"/>
          <w:szCs w:val="24"/>
        </w:rPr>
        <w:tab/>
        <w:t>Credit hour equivalents</w:t>
      </w:r>
      <w:r w:rsidR="00EF4255" w:rsidRPr="006968C1">
        <w:rPr>
          <w:rFonts w:ascii="Times New Roman" w:hAnsi="Times New Roman" w:cs="Times New Roman"/>
          <w:szCs w:val="24"/>
        </w:rPr>
        <w:t xml:space="preserve">.  Credit hour </w:t>
      </w:r>
      <w:r w:rsidR="001F5968" w:rsidRPr="006968C1">
        <w:rPr>
          <w:rFonts w:ascii="Times New Roman" w:hAnsi="Times New Roman" w:cs="Times New Roman"/>
          <w:szCs w:val="24"/>
        </w:rPr>
        <w:t>equivalents for activities beyond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teaching, including research, clinical care, administration, service, and other professional duties, will be assigned based on the anticipated time required and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the activity’s alignment with university, college, and department strategic goals.</w:t>
      </w:r>
      <w:r w:rsidR="00F11AA6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These equivalents will be informed by project descriptions (for service) and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defined outcomes (for research and service) and will be reviewed and adjusted as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needed during annual evaluations.</w:t>
      </w:r>
      <w:r w:rsidR="007A525D" w:rsidRPr="006968C1">
        <w:rPr>
          <w:rFonts w:ascii="Times New Roman" w:hAnsi="Times New Roman" w:cs="Times New Roman"/>
          <w:szCs w:val="24"/>
        </w:rPr>
        <w:t xml:space="preserve">  </w:t>
      </w:r>
    </w:p>
    <w:p w14:paraId="6AEC393C" w14:textId="3A88D7F8" w:rsidR="001F5968" w:rsidRPr="006968C1" w:rsidRDefault="007A525D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(D)</w:t>
      </w:r>
      <w:r w:rsidRPr="006968C1">
        <w:rPr>
          <w:rFonts w:ascii="Times New Roman" w:hAnsi="Times New Roman" w:cs="Times New Roman"/>
          <w:szCs w:val="24"/>
        </w:rPr>
        <w:tab/>
        <w:t xml:space="preserve">Departmental norms.  ODHE has provided the following </w:t>
      </w:r>
      <w:r w:rsidR="001F5968" w:rsidRPr="006968C1">
        <w:rPr>
          <w:rFonts w:ascii="Times New Roman" w:hAnsi="Times New Roman" w:cs="Times New Roman"/>
          <w:szCs w:val="24"/>
        </w:rPr>
        <w:t>general norms to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guide aggregate program-level teaching and non-teaching expectations: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tbl>
      <w:tblPr>
        <w:tblStyle w:val="GridTable1Light"/>
        <w:tblW w:w="8130" w:type="dxa"/>
        <w:tblLook w:val="04A0" w:firstRow="1" w:lastRow="0" w:firstColumn="1" w:lastColumn="0" w:noHBand="0" w:noVBand="1"/>
      </w:tblPr>
      <w:tblGrid>
        <w:gridCol w:w="3660"/>
        <w:gridCol w:w="2235"/>
        <w:gridCol w:w="2235"/>
      </w:tblGrid>
      <w:tr w:rsidR="003A227C" w:rsidRPr="006968C1" w14:paraId="317F2765" w14:textId="77777777" w:rsidTr="00313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035C92DC" w14:textId="77777777" w:rsidR="001F5968" w:rsidRPr="006968C1" w:rsidRDefault="001F5968" w:rsidP="00F90A24">
            <w:pPr>
              <w:jc w:val="center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Program Type</w:t>
            </w:r>
          </w:p>
        </w:tc>
        <w:tc>
          <w:tcPr>
            <w:tcW w:w="2235" w:type="dxa"/>
            <w:hideMark/>
          </w:tcPr>
          <w:p w14:paraId="472A6621" w14:textId="5A80337B" w:rsidR="000D16A0" w:rsidRDefault="001F5968" w:rsidP="00F90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68C1">
              <w:rPr>
                <w:rFonts w:ascii="Times New Roman" w:hAnsi="Times New Roman" w:cs="Times New Roman"/>
              </w:rPr>
              <w:t>Minimum</w:t>
            </w:r>
            <w:r w:rsidR="000D16A0">
              <w:rPr>
                <w:rFonts w:ascii="Times New Roman" w:hAnsi="Times New Roman" w:cs="Times New Roman"/>
              </w:rPr>
              <w:t xml:space="preserve"> </w:t>
            </w:r>
            <w:r w:rsidRPr="006968C1">
              <w:rPr>
                <w:rFonts w:ascii="Times New Roman" w:hAnsi="Times New Roman" w:cs="Times New Roman"/>
              </w:rPr>
              <w:t xml:space="preserve">Teaching Expectation </w:t>
            </w:r>
          </w:p>
          <w:p w14:paraId="117AB04E" w14:textId="1D61ACAF" w:rsidR="001F5968" w:rsidRPr="006968C1" w:rsidRDefault="001F5968" w:rsidP="00F90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(as % of total workload*)</w:t>
            </w:r>
          </w:p>
        </w:tc>
        <w:tc>
          <w:tcPr>
            <w:tcW w:w="2235" w:type="dxa"/>
            <w:hideMark/>
          </w:tcPr>
          <w:p w14:paraId="2ACA6486" w14:textId="77777777" w:rsidR="001F5968" w:rsidRPr="006968C1" w:rsidRDefault="001F5968" w:rsidP="00F90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Other Activities (Research, Service, Administration)</w:t>
            </w:r>
          </w:p>
        </w:tc>
      </w:tr>
      <w:tr w:rsidR="003A227C" w:rsidRPr="006968C1" w14:paraId="68AF74A6" w14:textId="77777777" w:rsidTr="00313DF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761728CD" w14:textId="77777777" w:rsidR="001F5968" w:rsidRPr="006968C1" w:rsidRDefault="001F5968" w:rsidP="004903BC">
            <w:pPr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Baccalaureate (Undergraduate only)</w:t>
            </w:r>
          </w:p>
        </w:tc>
        <w:tc>
          <w:tcPr>
            <w:tcW w:w="2235" w:type="dxa"/>
            <w:hideMark/>
          </w:tcPr>
          <w:p w14:paraId="71853BE0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≥ 70%</w:t>
            </w:r>
          </w:p>
        </w:tc>
        <w:tc>
          <w:tcPr>
            <w:tcW w:w="2235" w:type="dxa"/>
            <w:hideMark/>
          </w:tcPr>
          <w:p w14:paraId="1F5706E0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≤ 30%</w:t>
            </w:r>
          </w:p>
        </w:tc>
      </w:tr>
      <w:tr w:rsidR="003A227C" w:rsidRPr="006968C1" w14:paraId="061AF989" w14:textId="77777777" w:rsidTr="00313DF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2E1AE3C4" w14:textId="77777777" w:rsidR="001F5968" w:rsidRPr="006968C1" w:rsidRDefault="001F5968" w:rsidP="004903BC">
            <w:pPr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Baccalaureate/Master’s</w:t>
            </w:r>
          </w:p>
        </w:tc>
        <w:tc>
          <w:tcPr>
            <w:tcW w:w="2235" w:type="dxa"/>
            <w:hideMark/>
          </w:tcPr>
          <w:p w14:paraId="58A0996A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≥ 60%</w:t>
            </w:r>
          </w:p>
        </w:tc>
        <w:tc>
          <w:tcPr>
            <w:tcW w:w="2235" w:type="dxa"/>
            <w:hideMark/>
          </w:tcPr>
          <w:p w14:paraId="242A4EBA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≤ 40%</w:t>
            </w:r>
          </w:p>
        </w:tc>
      </w:tr>
      <w:tr w:rsidR="003A227C" w:rsidRPr="006968C1" w14:paraId="69C97AAC" w14:textId="77777777" w:rsidTr="00313DF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53E3A694" w14:textId="77777777" w:rsidR="001F5968" w:rsidRPr="006968C1" w:rsidRDefault="001F5968" w:rsidP="004903BC">
            <w:pPr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Baccalaureate/Master’s/Doctoral</w:t>
            </w:r>
          </w:p>
        </w:tc>
        <w:tc>
          <w:tcPr>
            <w:tcW w:w="2235" w:type="dxa"/>
            <w:hideMark/>
          </w:tcPr>
          <w:p w14:paraId="5F7A633D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≥ 50%</w:t>
            </w:r>
          </w:p>
        </w:tc>
        <w:tc>
          <w:tcPr>
            <w:tcW w:w="2235" w:type="dxa"/>
            <w:hideMark/>
          </w:tcPr>
          <w:p w14:paraId="753E1571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≤ 50%</w:t>
            </w:r>
          </w:p>
        </w:tc>
      </w:tr>
      <w:tr w:rsidR="003A227C" w:rsidRPr="006968C1" w14:paraId="65ED0070" w14:textId="77777777" w:rsidTr="00313DF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7174049A" w14:textId="77777777" w:rsidR="001F5968" w:rsidRPr="006968C1" w:rsidRDefault="001F5968" w:rsidP="004903BC">
            <w:pPr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Associate degree or Two-Year Programs</w:t>
            </w:r>
          </w:p>
        </w:tc>
        <w:tc>
          <w:tcPr>
            <w:tcW w:w="2235" w:type="dxa"/>
            <w:hideMark/>
          </w:tcPr>
          <w:p w14:paraId="0AE18C46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≥ 80%</w:t>
            </w:r>
          </w:p>
        </w:tc>
        <w:tc>
          <w:tcPr>
            <w:tcW w:w="2235" w:type="dxa"/>
            <w:hideMark/>
          </w:tcPr>
          <w:p w14:paraId="09CF0484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≤ 20%</w:t>
            </w:r>
          </w:p>
        </w:tc>
      </w:tr>
      <w:tr w:rsidR="003A227C" w:rsidRPr="006968C1" w14:paraId="00780245" w14:textId="77777777" w:rsidTr="00313DF5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5036A346" w14:textId="77777777" w:rsidR="001F5968" w:rsidRPr="006968C1" w:rsidRDefault="001F5968" w:rsidP="004903BC">
            <w:pPr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Community College–Equivalent or Workforce-Oriented Associate Programs</w:t>
            </w:r>
          </w:p>
        </w:tc>
        <w:tc>
          <w:tcPr>
            <w:tcW w:w="2235" w:type="dxa"/>
            <w:hideMark/>
          </w:tcPr>
          <w:p w14:paraId="5B22A56C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≥ 75–80%</w:t>
            </w:r>
          </w:p>
        </w:tc>
        <w:tc>
          <w:tcPr>
            <w:tcW w:w="2235" w:type="dxa"/>
            <w:hideMark/>
          </w:tcPr>
          <w:p w14:paraId="5B30F6C6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≤ 25%</w:t>
            </w:r>
          </w:p>
        </w:tc>
      </w:tr>
      <w:tr w:rsidR="003A227C" w:rsidRPr="006968C1" w14:paraId="1D6928E6" w14:textId="77777777" w:rsidTr="00313DF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hideMark/>
          </w:tcPr>
          <w:p w14:paraId="16FBB99B" w14:textId="77777777" w:rsidR="001F5968" w:rsidRPr="006968C1" w:rsidRDefault="001F5968" w:rsidP="004903BC">
            <w:pPr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Part-Time Faculty</w:t>
            </w:r>
          </w:p>
        </w:tc>
        <w:tc>
          <w:tcPr>
            <w:tcW w:w="2235" w:type="dxa"/>
            <w:hideMark/>
          </w:tcPr>
          <w:p w14:paraId="520C2D0D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100% (Instructional)</w:t>
            </w:r>
          </w:p>
        </w:tc>
        <w:tc>
          <w:tcPr>
            <w:tcW w:w="2235" w:type="dxa"/>
            <w:hideMark/>
          </w:tcPr>
          <w:p w14:paraId="3829247A" w14:textId="77777777" w:rsidR="001F5968" w:rsidRPr="006968C1" w:rsidRDefault="001F5968" w:rsidP="004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8C1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652CB74" w14:textId="3E8B3588" w:rsidR="001F5968" w:rsidRPr="006968C1" w:rsidRDefault="001F5968" w:rsidP="00313DF5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 xml:space="preserve">Note: </w:t>
      </w:r>
      <w:r w:rsidR="00313DF5">
        <w:rPr>
          <w:rFonts w:ascii="Times New Roman" w:hAnsi="Times New Roman" w:cs="Times New Roman"/>
          <w:szCs w:val="24"/>
        </w:rPr>
        <w:t xml:space="preserve"> T</w:t>
      </w:r>
      <w:r w:rsidRPr="006968C1">
        <w:rPr>
          <w:rFonts w:ascii="Times New Roman" w:hAnsi="Times New Roman" w:cs="Times New Roman"/>
          <w:szCs w:val="24"/>
        </w:rPr>
        <w:t>otal workload is defined as thirty credit hours/credit hour equivalents.</w:t>
      </w:r>
      <w:r w:rsidR="002B0F15" w:rsidRPr="006968C1">
        <w:rPr>
          <w:rFonts w:ascii="Times New Roman" w:hAnsi="Times New Roman" w:cs="Times New Roman"/>
          <w:szCs w:val="24"/>
        </w:rPr>
        <w:t xml:space="preserve">  </w:t>
      </w:r>
    </w:p>
    <w:p w14:paraId="1154216C" w14:textId="7FFDDE5B" w:rsidR="001F5968" w:rsidRPr="006968C1" w:rsidRDefault="002B0F15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(E)</w:t>
      </w:r>
      <w:r w:rsidRPr="006968C1">
        <w:rPr>
          <w:rFonts w:ascii="Times New Roman" w:hAnsi="Times New Roman" w:cs="Times New Roman"/>
          <w:szCs w:val="24"/>
        </w:rPr>
        <w:tab/>
        <w:t xml:space="preserve">Workload is not subject to </w:t>
      </w:r>
      <w:r w:rsidR="001F5968" w:rsidRPr="006968C1">
        <w:rPr>
          <w:rFonts w:ascii="Times New Roman" w:hAnsi="Times New Roman" w:cs="Times New Roman"/>
          <w:szCs w:val="24"/>
        </w:rPr>
        <w:t>grievance of any kind.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6392DE82" w14:textId="3D615988" w:rsidR="001F5968" w:rsidRPr="006968C1" w:rsidRDefault="00100228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(F)</w:t>
      </w:r>
      <w:r w:rsidRPr="006968C1">
        <w:rPr>
          <w:rFonts w:ascii="Times New Roman" w:hAnsi="Times New Roman" w:cs="Times New Roman"/>
          <w:szCs w:val="24"/>
        </w:rPr>
        <w:tab/>
        <w:t xml:space="preserve">YSU shall not </w:t>
      </w:r>
      <w:r w:rsidR="001F5968" w:rsidRPr="006968C1">
        <w:rPr>
          <w:rFonts w:ascii="Times New Roman" w:hAnsi="Times New Roman" w:cs="Times New Roman"/>
          <w:szCs w:val="24"/>
        </w:rPr>
        <w:t xml:space="preserve">bargain workload policies. </w:t>
      </w:r>
      <w:r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This policy applies,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notwithstanding, any contrary provision in a collective bargaining agreement</w:t>
      </w:r>
      <w:r w:rsidR="00F11AA6" w:rsidRPr="006968C1">
        <w:rPr>
          <w:rFonts w:ascii="Times New Roman" w:hAnsi="Times New Roman" w:cs="Times New Roman"/>
          <w:szCs w:val="24"/>
        </w:rPr>
        <w:t xml:space="preserve"> </w:t>
      </w:r>
      <w:bookmarkStart w:id="0" w:name="_Int_dsnciita"/>
      <w:r w:rsidR="001F5968" w:rsidRPr="006968C1">
        <w:rPr>
          <w:rFonts w:ascii="Times New Roman" w:hAnsi="Times New Roman" w:cs="Times New Roman"/>
          <w:szCs w:val="24"/>
        </w:rPr>
        <w:t>entered into</w:t>
      </w:r>
      <w:bookmarkEnd w:id="0"/>
      <w:r w:rsidR="001F5968" w:rsidRPr="006968C1">
        <w:rPr>
          <w:rFonts w:ascii="Times New Roman" w:hAnsi="Times New Roman" w:cs="Times New Roman"/>
          <w:szCs w:val="24"/>
        </w:rPr>
        <w:t xml:space="preserve"> on or after the statute’s effective date.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27457791" w14:textId="77777777" w:rsidR="00100228" w:rsidRPr="006968C1" w:rsidRDefault="00100228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(G)</w:t>
      </w:r>
      <w:r w:rsidRPr="006968C1">
        <w:rPr>
          <w:rFonts w:ascii="Times New Roman" w:hAnsi="Times New Roman" w:cs="Times New Roman"/>
          <w:szCs w:val="24"/>
        </w:rPr>
        <w:tab/>
        <w:t xml:space="preserve">Workload plan/report procedures.  </w:t>
      </w:r>
    </w:p>
    <w:p w14:paraId="72B84B2C" w14:textId="2C9DD342" w:rsidR="00DC208A" w:rsidRDefault="00100228" w:rsidP="005C3F4C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lastRenderedPageBreak/>
        <w:t>(1)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Academic department chairs, in consultation with department faculty,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shall complete a recommended plan, called the “workload plan,” detailing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individual faculty workload to be assigned for the upcoming academic year.</w:t>
      </w:r>
      <w:r w:rsidR="00AF4292" w:rsidRPr="006968C1">
        <w:rPr>
          <w:rFonts w:ascii="Times New Roman" w:hAnsi="Times New Roman" w:cs="Times New Roman"/>
          <w:szCs w:val="24"/>
        </w:rPr>
        <w:t xml:space="preserve">  </w:t>
      </w:r>
      <w:r w:rsidR="001F5968" w:rsidRPr="006968C1">
        <w:rPr>
          <w:rFonts w:ascii="Times New Roman" w:hAnsi="Times New Roman" w:cs="Times New Roman"/>
          <w:szCs w:val="24"/>
        </w:rPr>
        <w:t>Anticipated teaching, scholarship, and service activities shall be included.  This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shall be completed by May </w:t>
      </w:r>
      <w:r w:rsidR="00D11E6C">
        <w:rPr>
          <w:rFonts w:ascii="Times New Roman" w:hAnsi="Times New Roman" w:cs="Times New Roman"/>
          <w:szCs w:val="24"/>
        </w:rPr>
        <w:t>first</w:t>
      </w:r>
      <w:r w:rsidR="001F5968" w:rsidRPr="006968C1">
        <w:rPr>
          <w:rFonts w:ascii="Times New Roman" w:hAnsi="Times New Roman" w:cs="Times New Roman"/>
          <w:szCs w:val="24"/>
        </w:rPr>
        <w:t xml:space="preserve"> preceding the upcoming academic year.</w:t>
      </w:r>
      <w:r w:rsidR="00DC208A" w:rsidRPr="006968C1">
        <w:rPr>
          <w:rFonts w:ascii="Times New Roman" w:hAnsi="Times New Roman" w:cs="Times New Roman"/>
          <w:szCs w:val="24"/>
        </w:rPr>
        <w:t xml:space="preserve">  </w:t>
      </w:r>
    </w:p>
    <w:p w14:paraId="25EE89FF" w14:textId="5F5CCD32" w:rsidR="001F5968" w:rsidRPr="006968C1" w:rsidRDefault="000A7CBF" w:rsidP="005C3F4C">
      <w:pPr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</w:t>
      </w:r>
      <w:r>
        <w:rPr>
          <w:rFonts w:ascii="Times New Roman" w:hAnsi="Times New Roman" w:cs="Times New Roman"/>
          <w:szCs w:val="24"/>
        </w:rPr>
        <w:tab/>
      </w:r>
      <w:r w:rsidR="00DC208A" w:rsidRPr="006968C1">
        <w:rPr>
          <w:rFonts w:ascii="Times New Roman" w:hAnsi="Times New Roman" w:cs="Times New Roman"/>
          <w:szCs w:val="24"/>
        </w:rPr>
        <w:t xml:space="preserve">The dean </w:t>
      </w:r>
      <w:r w:rsidR="001F5968" w:rsidRPr="006968C1">
        <w:rPr>
          <w:rFonts w:ascii="Times New Roman" w:hAnsi="Times New Roman" w:cs="Times New Roman"/>
          <w:szCs w:val="24"/>
        </w:rPr>
        <w:t>will review and approve in writing the department chair/</w:t>
      </w:r>
      <w:r w:rsidR="003D2BBE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school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director’s recommended workload plan for individual faculty workload.  Prior to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approval, the dean may return proposed workload plans for modification and/or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clarification.  Once the workload plan is approved, the dean will forward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departmental workload recommendations to the office of academic affairs.  The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provost may return departmental recommendations to the dean for modification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and/or clarification.</w:t>
      </w:r>
      <w:r w:rsidR="00DC208A" w:rsidRPr="006968C1">
        <w:rPr>
          <w:rFonts w:ascii="Times New Roman" w:hAnsi="Times New Roman" w:cs="Times New Roman"/>
          <w:szCs w:val="24"/>
        </w:rPr>
        <w:t xml:space="preserve">  </w:t>
      </w:r>
    </w:p>
    <w:p w14:paraId="2810A24F" w14:textId="3FEBE35E" w:rsidR="001F5968" w:rsidRPr="006968C1" w:rsidRDefault="00DC208A" w:rsidP="005C3F4C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(3)</w:t>
      </w:r>
      <w:r w:rsidRPr="006968C1">
        <w:rPr>
          <w:rFonts w:ascii="Times New Roman" w:hAnsi="Times New Roman" w:cs="Times New Roman"/>
          <w:szCs w:val="24"/>
        </w:rPr>
        <w:tab/>
      </w:r>
      <w:r w:rsidR="001F5968" w:rsidRPr="006968C1">
        <w:rPr>
          <w:rFonts w:ascii="Times New Roman" w:hAnsi="Times New Roman" w:cs="Times New Roman"/>
          <w:szCs w:val="24"/>
        </w:rPr>
        <w:t>In cases where the approved plan changes and results in overload and/or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changes to non-instructional reassigned duties, a revised plan must be submitted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for approval to the dean and forwarded to the office of academic affairs.</w:t>
      </w:r>
      <w:r w:rsidR="00997130" w:rsidRPr="006968C1">
        <w:rPr>
          <w:rFonts w:ascii="Times New Roman" w:hAnsi="Times New Roman" w:cs="Times New Roman"/>
          <w:szCs w:val="24"/>
        </w:rPr>
        <w:t xml:space="preserve">  </w:t>
      </w:r>
    </w:p>
    <w:p w14:paraId="35D77958" w14:textId="16A5872B" w:rsidR="001F5968" w:rsidRPr="006968C1" w:rsidRDefault="00997130" w:rsidP="005C3F4C">
      <w:pPr>
        <w:ind w:left="144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(4)</w:t>
      </w:r>
      <w:r w:rsidRPr="006968C1">
        <w:rPr>
          <w:rFonts w:ascii="Times New Roman" w:hAnsi="Times New Roman" w:cs="Times New Roman"/>
          <w:szCs w:val="24"/>
        </w:rPr>
        <w:tab/>
        <w:t xml:space="preserve">Faculty </w:t>
      </w:r>
      <w:r w:rsidR="001F5968" w:rsidRPr="006968C1">
        <w:rPr>
          <w:rFonts w:ascii="Times New Roman" w:hAnsi="Times New Roman" w:cs="Times New Roman"/>
          <w:szCs w:val="24"/>
        </w:rPr>
        <w:t>members are required to submit the final report, called the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“workload report,” detailing actual teaching, scholarship, and service activities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from the current academic year by the end of the relevant spring semester.  The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final report is reviewed and approved by the department chair/school director and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dean prior to being forwarded to the office of academic affairs.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6FD3BB64" w14:textId="4FE628CF" w:rsidR="001F5968" w:rsidRPr="006968C1" w:rsidRDefault="00997130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(H)</w:t>
      </w:r>
      <w:r w:rsidRPr="006968C1">
        <w:rPr>
          <w:rFonts w:ascii="Times New Roman" w:hAnsi="Times New Roman" w:cs="Times New Roman"/>
          <w:szCs w:val="24"/>
        </w:rPr>
        <w:tab/>
        <w:t xml:space="preserve">Administrative right.  </w:t>
      </w:r>
      <w:r w:rsidR="001F5968" w:rsidRPr="006968C1">
        <w:rPr>
          <w:rFonts w:ascii="Times New Roman" w:hAnsi="Times New Roman" w:cs="Times New Roman"/>
          <w:szCs w:val="24"/>
        </w:rPr>
        <w:t>The determination, assignment, and approval of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workload hours for teaching, scholarship, and service are reserved administrative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>rights.</w:t>
      </w:r>
      <w:r w:rsidRPr="006968C1">
        <w:rPr>
          <w:rFonts w:ascii="Times New Roman" w:hAnsi="Times New Roman" w:cs="Times New Roman"/>
          <w:szCs w:val="24"/>
        </w:rPr>
        <w:t xml:space="preserve">  </w:t>
      </w:r>
    </w:p>
    <w:p w14:paraId="0B48F2BB" w14:textId="6A36B4AB" w:rsidR="00996CF1" w:rsidRDefault="00997130" w:rsidP="005C3F4C">
      <w:pPr>
        <w:ind w:left="720" w:hanging="720"/>
        <w:rPr>
          <w:rFonts w:ascii="Times New Roman" w:hAnsi="Times New Roman" w:cs="Times New Roman"/>
          <w:szCs w:val="24"/>
        </w:rPr>
      </w:pPr>
      <w:r w:rsidRPr="006968C1">
        <w:rPr>
          <w:rFonts w:ascii="Times New Roman" w:hAnsi="Times New Roman" w:cs="Times New Roman"/>
          <w:szCs w:val="24"/>
        </w:rPr>
        <w:t>(I)</w:t>
      </w:r>
      <w:r w:rsidRPr="006968C1">
        <w:rPr>
          <w:rFonts w:ascii="Times New Roman" w:hAnsi="Times New Roman" w:cs="Times New Roman"/>
          <w:szCs w:val="24"/>
        </w:rPr>
        <w:tab/>
        <w:t xml:space="preserve">Review.  This policy shall </w:t>
      </w:r>
      <w:r w:rsidR="001F5968" w:rsidRPr="006968C1">
        <w:rPr>
          <w:rFonts w:ascii="Times New Roman" w:hAnsi="Times New Roman" w:cs="Times New Roman"/>
          <w:szCs w:val="24"/>
        </w:rPr>
        <w:t xml:space="preserve">be reviewed and approved by the YSU </w:t>
      </w:r>
      <w:r w:rsidR="009A23CC" w:rsidRPr="006968C1">
        <w:rPr>
          <w:rFonts w:ascii="Times New Roman" w:hAnsi="Times New Roman" w:cs="Times New Roman"/>
          <w:szCs w:val="24"/>
        </w:rPr>
        <w:t>b</w:t>
      </w:r>
      <w:r w:rsidR="001F5968" w:rsidRPr="006968C1">
        <w:rPr>
          <w:rFonts w:ascii="Times New Roman" w:hAnsi="Times New Roman" w:cs="Times New Roman"/>
          <w:szCs w:val="24"/>
        </w:rPr>
        <w:t>oard of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9A23CC" w:rsidRPr="006968C1">
        <w:rPr>
          <w:rFonts w:ascii="Times New Roman" w:hAnsi="Times New Roman" w:cs="Times New Roman"/>
          <w:szCs w:val="24"/>
        </w:rPr>
        <w:t>t</w:t>
      </w:r>
      <w:r w:rsidR="001F5968" w:rsidRPr="006968C1">
        <w:rPr>
          <w:rFonts w:ascii="Times New Roman" w:hAnsi="Times New Roman" w:cs="Times New Roman"/>
          <w:szCs w:val="24"/>
        </w:rPr>
        <w:t xml:space="preserve">rustees at least once every five years and submitted to the </w:t>
      </w:r>
      <w:r w:rsidR="009A23CC" w:rsidRPr="006968C1">
        <w:rPr>
          <w:rFonts w:ascii="Times New Roman" w:hAnsi="Times New Roman" w:cs="Times New Roman"/>
          <w:szCs w:val="24"/>
        </w:rPr>
        <w:t>c</w:t>
      </w:r>
      <w:r w:rsidR="001F5968" w:rsidRPr="006968C1">
        <w:rPr>
          <w:rFonts w:ascii="Times New Roman" w:hAnsi="Times New Roman" w:cs="Times New Roman"/>
          <w:szCs w:val="24"/>
        </w:rPr>
        <w:t>hancellor of the</w:t>
      </w:r>
      <w:r w:rsidR="00AF4292" w:rsidRPr="006968C1">
        <w:rPr>
          <w:rFonts w:ascii="Times New Roman" w:hAnsi="Times New Roman" w:cs="Times New Roman"/>
          <w:szCs w:val="24"/>
        </w:rPr>
        <w:t xml:space="preserve"> </w:t>
      </w:r>
      <w:r w:rsidR="001F5968" w:rsidRPr="006968C1">
        <w:rPr>
          <w:rFonts w:ascii="Times New Roman" w:hAnsi="Times New Roman" w:cs="Times New Roman"/>
          <w:szCs w:val="24"/>
        </w:rPr>
        <w:t xml:space="preserve">ODHE following </w:t>
      </w:r>
      <w:r w:rsidR="009A23CC" w:rsidRPr="006968C1">
        <w:rPr>
          <w:rFonts w:ascii="Times New Roman" w:hAnsi="Times New Roman" w:cs="Times New Roman"/>
          <w:szCs w:val="24"/>
        </w:rPr>
        <w:t>b</w:t>
      </w:r>
      <w:r w:rsidR="001F5968" w:rsidRPr="006968C1">
        <w:rPr>
          <w:rFonts w:ascii="Times New Roman" w:hAnsi="Times New Roman" w:cs="Times New Roman"/>
          <w:szCs w:val="24"/>
        </w:rPr>
        <w:t>oard approval.</w:t>
      </w:r>
      <w:r w:rsidR="00691929">
        <w:rPr>
          <w:rFonts w:ascii="Times New Roman" w:hAnsi="Times New Roman" w:cs="Times New Roman"/>
          <w:szCs w:val="24"/>
        </w:rPr>
        <w:t xml:space="preserve">  </w:t>
      </w:r>
    </w:p>
    <w:p w14:paraId="3A739A9E" w14:textId="06DD5B13" w:rsidR="00940B6D" w:rsidRDefault="00AF5883" w:rsidP="00AF5883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(J)</w:t>
      </w:r>
      <w:r>
        <w:rPr>
          <w:rFonts w:ascii="Times New Roman" w:hAnsi="Times New Roman" w:cs="Times New Roman"/>
          <w:szCs w:val="24"/>
        </w:rPr>
        <w:tab/>
      </w:r>
      <w:r w:rsidRPr="00AF5883">
        <w:rPr>
          <w:rFonts w:ascii="Times New Roman" w:hAnsi="Times New Roman" w:cs="Times New Roman"/>
          <w:szCs w:val="24"/>
        </w:rPr>
        <w:t xml:space="preserve">This policy is adopted by the </w:t>
      </w:r>
      <w:r w:rsidR="00940B6D">
        <w:rPr>
          <w:rFonts w:ascii="Times New Roman" w:hAnsi="Times New Roman" w:cs="Times New Roman"/>
          <w:szCs w:val="24"/>
        </w:rPr>
        <w:t>b</w:t>
      </w:r>
      <w:r w:rsidRPr="00AF5883">
        <w:rPr>
          <w:rFonts w:ascii="Times New Roman" w:hAnsi="Times New Roman" w:cs="Times New Roman"/>
          <w:szCs w:val="24"/>
        </w:rPr>
        <w:t xml:space="preserve">oard of </w:t>
      </w:r>
      <w:r w:rsidR="00940B6D">
        <w:rPr>
          <w:rFonts w:ascii="Times New Roman" w:hAnsi="Times New Roman" w:cs="Times New Roman"/>
          <w:szCs w:val="24"/>
        </w:rPr>
        <w:t>t</w:t>
      </w:r>
      <w:r w:rsidRPr="00AF5883">
        <w:rPr>
          <w:rFonts w:ascii="Times New Roman" w:hAnsi="Times New Roman" w:cs="Times New Roman"/>
          <w:szCs w:val="24"/>
        </w:rPr>
        <w:t xml:space="preserve">rustees pursuant to </w:t>
      </w:r>
      <w:r w:rsidR="00940B6D">
        <w:rPr>
          <w:rFonts w:ascii="Times New Roman" w:hAnsi="Times New Roman" w:cs="Times New Roman"/>
          <w:szCs w:val="24"/>
        </w:rPr>
        <w:t>s</w:t>
      </w:r>
      <w:r w:rsidRPr="00AF5883">
        <w:rPr>
          <w:rFonts w:ascii="Times New Roman" w:hAnsi="Times New Roman" w:cs="Times New Roman"/>
          <w:szCs w:val="24"/>
        </w:rPr>
        <w:t xml:space="preserve">ection 3345.455 </w:t>
      </w:r>
      <w:r w:rsidR="00940B6D">
        <w:rPr>
          <w:rFonts w:ascii="Times New Roman" w:hAnsi="Times New Roman" w:cs="Times New Roman"/>
          <w:szCs w:val="24"/>
        </w:rPr>
        <w:t xml:space="preserve">of the Revised Code </w:t>
      </w:r>
      <w:r w:rsidRPr="00AF5883">
        <w:rPr>
          <w:rFonts w:ascii="Times New Roman" w:hAnsi="Times New Roman" w:cs="Times New Roman"/>
          <w:szCs w:val="24"/>
        </w:rPr>
        <w:t xml:space="preserve">and per the directive of the </w:t>
      </w:r>
      <w:r w:rsidR="00940B6D">
        <w:rPr>
          <w:rFonts w:ascii="Times New Roman" w:hAnsi="Times New Roman" w:cs="Times New Roman"/>
          <w:szCs w:val="24"/>
        </w:rPr>
        <w:t>c</w:t>
      </w:r>
      <w:r w:rsidRPr="00AF5883">
        <w:rPr>
          <w:rFonts w:ascii="Times New Roman" w:hAnsi="Times New Roman" w:cs="Times New Roman"/>
          <w:szCs w:val="24"/>
        </w:rPr>
        <w:t xml:space="preserve">hancellor of the </w:t>
      </w:r>
      <w:r w:rsidR="00940B6D">
        <w:rPr>
          <w:rFonts w:ascii="Times New Roman" w:hAnsi="Times New Roman" w:cs="Times New Roman"/>
          <w:szCs w:val="24"/>
        </w:rPr>
        <w:t>ODHE</w:t>
      </w:r>
      <w:r w:rsidRPr="00AF5883">
        <w:rPr>
          <w:rFonts w:ascii="Times New Roman" w:hAnsi="Times New Roman" w:cs="Times New Roman"/>
          <w:szCs w:val="24"/>
        </w:rPr>
        <w:t>.  This policy becomes effective upon the earlier of</w:t>
      </w:r>
      <w:r w:rsidR="00940B6D">
        <w:rPr>
          <w:rFonts w:ascii="Times New Roman" w:hAnsi="Times New Roman" w:cs="Times New Roman"/>
          <w:szCs w:val="24"/>
        </w:rPr>
        <w:t xml:space="preserve">:  </w:t>
      </w:r>
    </w:p>
    <w:p w14:paraId="32959309" w14:textId="53AE4D4F" w:rsidR="00940B6D" w:rsidRDefault="00940B6D" w:rsidP="00940B6D">
      <w:pPr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</w:t>
      </w:r>
      <w:r>
        <w:rPr>
          <w:rFonts w:ascii="Times New Roman" w:hAnsi="Times New Roman" w:cs="Times New Roman"/>
          <w:szCs w:val="24"/>
        </w:rPr>
        <w:tab/>
        <w:t>T</w:t>
      </w:r>
      <w:r w:rsidR="00AF5883" w:rsidRPr="00AF5883">
        <w:rPr>
          <w:rFonts w:ascii="Times New Roman" w:hAnsi="Times New Roman" w:cs="Times New Roman"/>
          <w:szCs w:val="24"/>
        </w:rPr>
        <w:t xml:space="preserve">he ratification or adoption of a new collective bargaining agreement replacing the </w:t>
      </w:r>
      <w:r>
        <w:rPr>
          <w:rFonts w:ascii="Times New Roman" w:hAnsi="Times New Roman" w:cs="Times New Roman"/>
          <w:szCs w:val="24"/>
        </w:rPr>
        <w:t>a</w:t>
      </w:r>
      <w:r w:rsidR="00AF5883" w:rsidRPr="00AF5883">
        <w:rPr>
          <w:rFonts w:ascii="Times New Roman" w:hAnsi="Times New Roman" w:cs="Times New Roman"/>
          <w:szCs w:val="24"/>
        </w:rPr>
        <w:t xml:space="preserve">greement between Youngstown </w:t>
      </w:r>
      <w:r>
        <w:rPr>
          <w:rFonts w:ascii="Times New Roman" w:hAnsi="Times New Roman" w:cs="Times New Roman"/>
          <w:szCs w:val="24"/>
        </w:rPr>
        <w:t>s</w:t>
      </w:r>
      <w:r w:rsidR="00AF5883" w:rsidRPr="00AF5883">
        <w:rPr>
          <w:rFonts w:ascii="Times New Roman" w:hAnsi="Times New Roman" w:cs="Times New Roman"/>
          <w:szCs w:val="24"/>
        </w:rPr>
        <w:t xml:space="preserve">tate </w:t>
      </w:r>
      <w:r>
        <w:rPr>
          <w:rFonts w:ascii="Times New Roman" w:hAnsi="Times New Roman" w:cs="Times New Roman"/>
          <w:szCs w:val="24"/>
        </w:rPr>
        <w:t>u</w:t>
      </w:r>
      <w:r w:rsidR="00AF5883" w:rsidRPr="00AF5883">
        <w:rPr>
          <w:rFonts w:ascii="Times New Roman" w:hAnsi="Times New Roman" w:cs="Times New Roman"/>
          <w:szCs w:val="24"/>
        </w:rPr>
        <w:t xml:space="preserve">niversity and the Youngstown </w:t>
      </w:r>
      <w:r>
        <w:rPr>
          <w:rFonts w:ascii="Times New Roman" w:hAnsi="Times New Roman" w:cs="Times New Roman"/>
          <w:szCs w:val="24"/>
        </w:rPr>
        <w:t>s</w:t>
      </w:r>
      <w:r w:rsidR="00AF5883" w:rsidRPr="00AF5883">
        <w:rPr>
          <w:rFonts w:ascii="Times New Roman" w:hAnsi="Times New Roman" w:cs="Times New Roman"/>
          <w:szCs w:val="24"/>
        </w:rPr>
        <w:t xml:space="preserve">tate </w:t>
      </w:r>
      <w:r>
        <w:rPr>
          <w:rFonts w:ascii="Times New Roman" w:hAnsi="Times New Roman" w:cs="Times New Roman"/>
          <w:szCs w:val="24"/>
        </w:rPr>
        <w:t>u</w:t>
      </w:r>
      <w:r w:rsidR="00AF5883" w:rsidRPr="00AF5883">
        <w:rPr>
          <w:rFonts w:ascii="Times New Roman" w:hAnsi="Times New Roman" w:cs="Times New Roman"/>
          <w:szCs w:val="24"/>
        </w:rPr>
        <w:t xml:space="preserve">niversity </w:t>
      </w:r>
      <w:r>
        <w:rPr>
          <w:rFonts w:ascii="Times New Roman" w:hAnsi="Times New Roman" w:cs="Times New Roman"/>
          <w:szCs w:val="24"/>
        </w:rPr>
        <w:t>c</w:t>
      </w:r>
      <w:r w:rsidR="00AF5883" w:rsidRPr="00AF5883">
        <w:rPr>
          <w:rFonts w:ascii="Times New Roman" w:hAnsi="Times New Roman" w:cs="Times New Roman"/>
          <w:szCs w:val="24"/>
        </w:rPr>
        <w:t xml:space="preserve">hapter of </w:t>
      </w:r>
      <w:r>
        <w:rPr>
          <w:rFonts w:ascii="Times New Roman" w:hAnsi="Times New Roman" w:cs="Times New Roman"/>
          <w:szCs w:val="24"/>
        </w:rPr>
        <w:t>t</w:t>
      </w:r>
      <w:r w:rsidR="00AF5883" w:rsidRPr="00AF5883">
        <w:rPr>
          <w:rFonts w:ascii="Times New Roman" w:hAnsi="Times New Roman" w:cs="Times New Roman"/>
          <w:szCs w:val="24"/>
        </w:rPr>
        <w:t xml:space="preserve">he Ohio </w:t>
      </w:r>
      <w:r>
        <w:rPr>
          <w:rFonts w:ascii="Times New Roman" w:hAnsi="Times New Roman" w:cs="Times New Roman"/>
          <w:szCs w:val="24"/>
        </w:rPr>
        <w:t>e</w:t>
      </w:r>
      <w:r w:rsidR="00AF5883" w:rsidRPr="00AF5883">
        <w:rPr>
          <w:rFonts w:ascii="Times New Roman" w:hAnsi="Times New Roman" w:cs="Times New Roman"/>
          <w:szCs w:val="24"/>
        </w:rPr>
        <w:t xml:space="preserve">ducation </w:t>
      </w:r>
      <w:r>
        <w:rPr>
          <w:rFonts w:ascii="Times New Roman" w:hAnsi="Times New Roman" w:cs="Times New Roman"/>
          <w:szCs w:val="24"/>
        </w:rPr>
        <w:t>a</w:t>
      </w:r>
      <w:r w:rsidR="00AF5883" w:rsidRPr="00AF5883">
        <w:rPr>
          <w:rFonts w:ascii="Times New Roman" w:hAnsi="Times New Roman" w:cs="Times New Roman"/>
          <w:szCs w:val="24"/>
        </w:rPr>
        <w:t>ssociation, 2023</w:t>
      </w:r>
      <w:r>
        <w:rPr>
          <w:rFonts w:ascii="Times New Roman" w:hAnsi="Times New Roman" w:cs="Times New Roman"/>
          <w:szCs w:val="24"/>
        </w:rPr>
        <w:t xml:space="preserve"> to </w:t>
      </w:r>
      <w:r w:rsidR="00AF5883" w:rsidRPr="00AF5883">
        <w:rPr>
          <w:rFonts w:ascii="Times New Roman" w:hAnsi="Times New Roman" w:cs="Times New Roman"/>
          <w:szCs w:val="24"/>
        </w:rPr>
        <w:t>2026</w:t>
      </w:r>
      <w:r>
        <w:rPr>
          <w:rFonts w:ascii="Times New Roman" w:hAnsi="Times New Roman" w:cs="Times New Roman"/>
          <w:szCs w:val="24"/>
        </w:rPr>
        <w:t>;</w:t>
      </w:r>
      <w:r w:rsidR="00AF5883" w:rsidRPr="00AF5883">
        <w:rPr>
          <w:rFonts w:ascii="Times New Roman" w:hAnsi="Times New Roman" w:cs="Times New Roman"/>
          <w:szCs w:val="24"/>
        </w:rPr>
        <w:t> or</w:t>
      </w:r>
    </w:p>
    <w:p w14:paraId="1EF6EC77" w14:textId="794493AE" w:rsidR="00AF5883" w:rsidRPr="00AF5883" w:rsidRDefault="00940B6D" w:rsidP="00940B6D">
      <w:pPr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</w:t>
      </w:r>
      <w:r>
        <w:rPr>
          <w:rFonts w:ascii="Times New Roman" w:hAnsi="Times New Roman" w:cs="Times New Roman"/>
          <w:szCs w:val="24"/>
        </w:rPr>
        <w:tab/>
        <w:t>T</w:t>
      </w:r>
      <w:r w:rsidR="00AF5883" w:rsidRPr="00AF5883">
        <w:rPr>
          <w:rFonts w:ascii="Times New Roman" w:hAnsi="Times New Roman" w:cs="Times New Roman"/>
          <w:szCs w:val="24"/>
        </w:rPr>
        <w:t>he commencement of conciliation proceedings during such negotiations.</w:t>
      </w:r>
    </w:p>
    <w:p w14:paraId="6E59EAA9" w14:textId="01DA61B5" w:rsidR="00AF5883" w:rsidRPr="006968C1" w:rsidRDefault="00AF5883" w:rsidP="005C3F4C">
      <w:pPr>
        <w:ind w:left="720" w:hanging="720"/>
        <w:rPr>
          <w:rFonts w:ascii="Times New Roman" w:hAnsi="Times New Roman" w:cs="Times New Roman"/>
          <w:szCs w:val="24"/>
        </w:rPr>
      </w:pPr>
    </w:p>
    <w:sectPr w:rsidR="00AF5883" w:rsidRPr="006968C1" w:rsidSect="00BB324F">
      <w:headerReference w:type="even" r:id="rId10"/>
      <w:headerReference w:type="default" r:id="rId11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7E69" w14:textId="77777777" w:rsidR="00145F7B" w:rsidRDefault="00145F7B">
      <w:pPr>
        <w:spacing w:after="0" w:line="240" w:lineRule="auto"/>
      </w:pPr>
      <w:r>
        <w:separator/>
      </w:r>
    </w:p>
  </w:endnote>
  <w:endnote w:type="continuationSeparator" w:id="0">
    <w:p w14:paraId="03DDDF32" w14:textId="77777777" w:rsidR="00145F7B" w:rsidRDefault="0014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765C" w14:textId="77777777" w:rsidR="00145F7B" w:rsidRDefault="00145F7B">
      <w:pPr>
        <w:spacing w:after="0" w:line="240" w:lineRule="auto"/>
      </w:pPr>
      <w:r>
        <w:separator/>
      </w:r>
    </w:p>
  </w:footnote>
  <w:footnote w:type="continuationSeparator" w:id="0">
    <w:p w14:paraId="3D5D21BC" w14:textId="77777777" w:rsidR="00145F7B" w:rsidRDefault="0014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3D9" w14:textId="77777777" w:rsidR="0059224E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F5A65" w14:textId="77777777" w:rsidR="0059224E" w:rsidRDefault="0059224E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DC09" w14:textId="77777777" w:rsidR="0059224E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F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7404BC" w14:textId="2B731B8D" w:rsidR="0059224E" w:rsidRPr="001D18B4" w:rsidRDefault="00064BD1" w:rsidP="001D18B4">
    <w:pPr>
      <w:pStyle w:val="Header"/>
      <w:tabs>
        <w:tab w:val="clear" w:pos="4680"/>
        <w:tab w:val="clear" w:pos="9360"/>
        <w:tab w:val="center" w:pos="3723"/>
      </w:tabs>
      <w:ind w:right="360"/>
      <w:rPr>
        <w:rFonts w:ascii="Times New Roman" w:hAnsi="Times New Roman" w:cs="Times New Roman"/>
      </w:rPr>
    </w:pPr>
    <w:r w:rsidRPr="001D18B4">
      <w:rPr>
        <w:rFonts w:ascii="Times New Roman" w:hAnsi="Times New Roman" w:cs="Times New Roman"/>
      </w:rPr>
      <w:t>3356</w:t>
    </w:r>
    <w:r w:rsidR="00121FC5" w:rsidRPr="001D18B4">
      <w:rPr>
        <w:rFonts w:ascii="Times New Roman" w:hAnsi="Times New Roman" w:cs="Times New Roman"/>
      </w:rPr>
      <w:t>-</w:t>
    </w:r>
    <w:r w:rsidRPr="001D18B4">
      <w:rPr>
        <w:rFonts w:ascii="Times New Roman" w:hAnsi="Times New Roman" w:cs="Times New Roman"/>
      </w:rPr>
      <w:t>1</w:t>
    </w:r>
    <w:r w:rsidR="001F5968">
      <w:rPr>
        <w:rFonts w:ascii="Times New Roman" w:hAnsi="Times New Roman" w:cs="Times New Roman"/>
      </w:rPr>
      <w:t>0</w:t>
    </w:r>
    <w:r w:rsidRPr="001D18B4">
      <w:rPr>
        <w:rFonts w:ascii="Times New Roman" w:hAnsi="Times New Roman" w:cs="Times New Roman"/>
      </w:rPr>
      <w:t>-</w:t>
    </w:r>
    <w:r w:rsidR="00110A98">
      <w:rPr>
        <w:rFonts w:ascii="Times New Roman" w:hAnsi="Times New Roman" w:cs="Times New Roman"/>
      </w:rPr>
      <w:t>20</w:t>
    </w:r>
    <w:r w:rsidR="001D18B4" w:rsidRPr="001D18B4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A3"/>
    <w:multiLevelType w:val="hybridMultilevel"/>
    <w:tmpl w:val="10829810"/>
    <w:lvl w:ilvl="0" w:tplc="FA38DDC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9EA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8A54E7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D841DA"/>
    <w:multiLevelType w:val="multilevel"/>
    <w:tmpl w:val="296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D52F0"/>
    <w:multiLevelType w:val="hybridMultilevel"/>
    <w:tmpl w:val="C6A6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913A1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8907E5"/>
    <w:multiLevelType w:val="multilevel"/>
    <w:tmpl w:val="1712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96ED8"/>
    <w:multiLevelType w:val="hybridMultilevel"/>
    <w:tmpl w:val="42844F60"/>
    <w:lvl w:ilvl="0" w:tplc="3D2415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AC0B52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81062">
    <w:abstractNumId w:val="0"/>
  </w:num>
  <w:num w:numId="2" w16cid:durableId="1004892591">
    <w:abstractNumId w:val="2"/>
  </w:num>
  <w:num w:numId="3" w16cid:durableId="924848167">
    <w:abstractNumId w:val="5"/>
  </w:num>
  <w:num w:numId="4" w16cid:durableId="1618953627">
    <w:abstractNumId w:val="1"/>
  </w:num>
  <w:num w:numId="5" w16cid:durableId="1763377770">
    <w:abstractNumId w:val="6"/>
  </w:num>
  <w:num w:numId="6" w16cid:durableId="648364719">
    <w:abstractNumId w:val="3"/>
  </w:num>
  <w:num w:numId="7" w16cid:durableId="1491361879">
    <w:abstractNumId w:val="4"/>
  </w:num>
  <w:num w:numId="8" w16cid:durableId="443816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1"/>
    <w:rsid w:val="0000141B"/>
    <w:rsid w:val="00034CB2"/>
    <w:rsid w:val="000412A5"/>
    <w:rsid w:val="00042FC5"/>
    <w:rsid w:val="00046496"/>
    <w:rsid w:val="000520C3"/>
    <w:rsid w:val="00053C9A"/>
    <w:rsid w:val="00064BD1"/>
    <w:rsid w:val="00084E97"/>
    <w:rsid w:val="000915BE"/>
    <w:rsid w:val="0009209E"/>
    <w:rsid w:val="000A7CBF"/>
    <w:rsid w:val="000C409B"/>
    <w:rsid w:val="000D16A0"/>
    <w:rsid w:val="000E463B"/>
    <w:rsid w:val="00100228"/>
    <w:rsid w:val="00102D5C"/>
    <w:rsid w:val="0010379A"/>
    <w:rsid w:val="00105232"/>
    <w:rsid w:val="00110A98"/>
    <w:rsid w:val="001149C5"/>
    <w:rsid w:val="00121CA1"/>
    <w:rsid w:val="00121FC5"/>
    <w:rsid w:val="00122F3B"/>
    <w:rsid w:val="00127BBB"/>
    <w:rsid w:val="00132C16"/>
    <w:rsid w:val="001442E0"/>
    <w:rsid w:val="001459C5"/>
    <w:rsid w:val="00145F7B"/>
    <w:rsid w:val="001710A0"/>
    <w:rsid w:val="00175926"/>
    <w:rsid w:val="00182D3D"/>
    <w:rsid w:val="0019328D"/>
    <w:rsid w:val="001A1C2A"/>
    <w:rsid w:val="001C3E38"/>
    <w:rsid w:val="001D18B4"/>
    <w:rsid w:val="001D6F32"/>
    <w:rsid w:val="001E00FB"/>
    <w:rsid w:val="001F10AA"/>
    <w:rsid w:val="001F5968"/>
    <w:rsid w:val="00202105"/>
    <w:rsid w:val="00213060"/>
    <w:rsid w:val="0023278B"/>
    <w:rsid w:val="00245046"/>
    <w:rsid w:val="00251BD0"/>
    <w:rsid w:val="00263568"/>
    <w:rsid w:val="00263DC8"/>
    <w:rsid w:val="00266489"/>
    <w:rsid w:val="002B0F15"/>
    <w:rsid w:val="002B149A"/>
    <w:rsid w:val="002B2EE9"/>
    <w:rsid w:val="002F1565"/>
    <w:rsid w:val="00307965"/>
    <w:rsid w:val="003131CC"/>
    <w:rsid w:val="00313DF5"/>
    <w:rsid w:val="003260D2"/>
    <w:rsid w:val="00332808"/>
    <w:rsid w:val="00351CD3"/>
    <w:rsid w:val="00356751"/>
    <w:rsid w:val="003A227C"/>
    <w:rsid w:val="003B6FD2"/>
    <w:rsid w:val="003B7B86"/>
    <w:rsid w:val="003C3F4D"/>
    <w:rsid w:val="003D2BBE"/>
    <w:rsid w:val="004016FF"/>
    <w:rsid w:val="0040613F"/>
    <w:rsid w:val="00435B8A"/>
    <w:rsid w:val="00441A94"/>
    <w:rsid w:val="0044433A"/>
    <w:rsid w:val="0045015B"/>
    <w:rsid w:val="004903BC"/>
    <w:rsid w:val="004B76F1"/>
    <w:rsid w:val="004D22DE"/>
    <w:rsid w:val="004F2B32"/>
    <w:rsid w:val="005165E7"/>
    <w:rsid w:val="005245B4"/>
    <w:rsid w:val="00565CEF"/>
    <w:rsid w:val="005665F7"/>
    <w:rsid w:val="00573864"/>
    <w:rsid w:val="0059224E"/>
    <w:rsid w:val="005C3F4C"/>
    <w:rsid w:val="005E116C"/>
    <w:rsid w:val="00612F9F"/>
    <w:rsid w:val="006428BF"/>
    <w:rsid w:val="00671A93"/>
    <w:rsid w:val="00676DA1"/>
    <w:rsid w:val="0069063F"/>
    <w:rsid w:val="00691929"/>
    <w:rsid w:val="00692882"/>
    <w:rsid w:val="006968C1"/>
    <w:rsid w:val="00701F5C"/>
    <w:rsid w:val="00705B65"/>
    <w:rsid w:val="00722E81"/>
    <w:rsid w:val="0076062D"/>
    <w:rsid w:val="00762946"/>
    <w:rsid w:val="00772D74"/>
    <w:rsid w:val="007748B5"/>
    <w:rsid w:val="007A0AB0"/>
    <w:rsid w:val="007A525D"/>
    <w:rsid w:val="007B3B2B"/>
    <w:rsid w:val="007C0BBB"/>
    <w:rsid w:val="007D315F"/>
    <w:rsid w:val="007F045B"/>
    <w:rsid w:val="00817D83"/>
    <w:rsid w:val="0083521A"/>
    <w:rsid w:val="00845090"/>
    <w:rsid w:val="00857BBA"/>
    <w:rsid w:val="008627E0"/>
    <w:rsid w:val="008735E2"/>
    <w:rsid w:val="00887679"/>
    <w:rsid w:val="00890018"/>
    <w:rsid w:val="00893AEB"/>
    <w:rsid w:val="008B3BF8"/>
    <w:rsid w:val="008B64A3"/>
    <w:rsid w:val="0091198C"/>
    <w:rsid w:val="00934CB6"/>
    <w:rsid w:val="009363EF"/>
    <w:rsid w:val="00940B6D"/>
    <w:rsid w:val="009477CB"/>
    <w:rsid w:val="00950941"/>
    <w:rsid w:val="00985E52"/>
    <w:rsid w:val="00991044"/>
    <w:rsid w:val="00996CF1"/>
    <w:rsid w:val="00997130"/>
    <w:rsid w:val="009A23CC"/>
    <w:rsid w:val="009C4EF7"/>
    <w:rsid w:val="009F035A"/>
    <w:rsid w:val="00A05EDB"/>
    <w:rsid w:val="00A12E73"/>
    <w:rsid w:val="00A27F3B"/>
    <w:rsid w:val="00A32CAF"/>
    <w:rsid w:val="00A428BA"/>
    <w:rsid w:val="00A47A94"/>
    <w:rsid w:val="00A546CE"/>
    <w:rsid w:val="00A83E83"/>
    <w:rsid w:val="00A93DE7"/>
    <w:rsid w:val="00AA4C4D"/>
    <w:rsid w:val="00AA686A"/>
    <w:rsid w:val="00AB064D"/>
    <w:rsid w:val="00AB09E5"/>
    <w:rsid w:val="00AC3BD1"/>
    <w:rsid w:val="00AD55D7"/>
    <w:rsid w:val="00AE66B2"/>
    <w:rsid w:val="00AF261E"/>
    <w:rsid w:val="00AF4292"/>
    <w:rsid w:val="00AF5883"/>
    <w:rsid w:val="00AF76FF"/>
    <w:rsid w:val="00AF7849"/>
    <w:rsid w:val="00B46D93"/>
    <w:rsid w:val="00B516D1"/>
    <w:rsid w:val="00B5520B"/>
    <w:rsid w:val="00B62E9F"/>
    <w:rsid w:val="00B97E4A"/>
    <w:rsid w:val="00BA35B0"/>
    <w:rsid w:val="00BA5514"/>
    <w:rsid w:val="00BC1D03"/>
    <w:rsid w:val="00BC41B9"/>
    <w:rsid w:val="00BD0CFC"/>
    <w:rsid w:val="00BD72B9"/>
    <w:rsid w:val="00C07520"/>
    <w:rsid w:val="00C27A53"/>
    <w:rsid w:val="00C54FFA"/>
    <w:rsid w:val="00CA4B96"/>
    <w:rsid w:val="00CB66D3"/>
    <w:rsid w:val="00CC1A7A"/>
    <w:rsid w:val="00CC4065"/>
    <w:rsid w:val="00CD782C"/>
    <w:rsid w:val="00CF2C3C"/>
    <w:rsid w:val="00CF4630"/>
    <w:rsid w:val="00D11E6C"/>
    <w:rsid w:val="00D31890"/>
    <w:rsid w:val="00D505C0"/>
    <w:rsid w:val="00D77129"/>
    <w:rsid w:val="00D8192D"/>
    <w:rsid w:val="00D85A9E"/>
    <w:rsid w:val="00DC1076"/>
    <w:rsid w:val="00DC208A"/>
    <w:rsid w:val="00DC6489"/>
    <w:rsid w:val="00DC7255"/>
    <w:rsid w:val="00DD0088"/>
    <w:rsid w:val="00E07884"/>
    <w:rsid w:val="00E348D4"/>
    <w:rsid w:val="00E67A6A"/>
    <w:rsid w:val="00E73E1C"/>
    <w:rsid w:val="00E905EA"/>
    <w:rsid w:val="00E906C0"/>
    <w:rsid w:val="00E9184E"/>
    <w:rsid w:val="00E92F63"/>
    <w:rsid w:val="00E932B0"/>
    <w:rsid w:val="00EC1A7A"/>
    <w:rsid w:val="00EC3144"/>
    <w:rsid w:val="00EE61F6"/>
    <w:rsid w:val="00EF4255"/>
    <w:rsid w:val="00F11AA6"/>
    <w:rsid w:val="00F13266"/>
    <w:rsid w:val="00F55526"/>
    <w:rsid w:val="00F90A24"/>
    <w:rsid w:val="00F92B83"/>
    <w:rsid w:val="00FB24C6"/>
    <w:rsid w:val="00FB7B71"/>
    <w:rsid w:val="00FE0F5A"/>
    <w:rsid w:val="00FF39C8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68B"/>
  <w15:docId w15:val="{2EA32CE2-D05E-43B2-8177-2941EC6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1"/>
  </w:style>
  <w:style w:type="character" w:styleId="PageNumber">
    <w:name w:val="page number"/>
    <w:basedOn w:val="DefaultParagraphFont"/>
    <w:rsid w:val="00064BD1"/>
  </w:style>
  <w:style w:type="paragraph" w:styleId="ListParagraph">
    <w:name w:val="List Paragraph"/>
    <w:basedOn w:val="Normal"/>
    <w:uiPriority w:val="34"/>
    <w:qFormat/>
    <w:rsid w:val="0006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C5"/>
  </w:style>
  <w:style w:type="table" w:styleId="GridTable1Light">
    <w:name w:val="Grid Table 1 Light"/>
    <w:basedOn w:val="TableNormal"/>
    <w:uiPriority w:val="46"/>
    <w:rsid w:val="001F5968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F59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1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95450-66E5-4E6B-8A76-E99CCB8D8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BA7CB-5C9A-43DB-B63A-1394B5FEF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3E69B-E5DD-4C5D-9890-6E1B37BC0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1903</Words>
  <Characters>11719</Characters>
  <Application>Microsoft Office Word</Application>
  <DocSecurity>0</DocSecurity>
  <Lines>274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10</cp:revision>
  <cp:lastPrinted>2025-11-26T14:03:00Z</cp:lastPrinted>
  <dcterms:created xsi:type="dcterms:W3CDTF">2025-12-05T14:09:00Z</dcterms:created>
  <dcterms:modified xsi:type="dcterms:W3CDTF">2025-12-29T18:16:00Z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